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4 vom 1. April 2019</w:t>
      </w:r>
    </w:p>
    <w:p>
      <w:r>
        <w:t>AG Gerichte, 2019-04-01, DE</w:t>
      </w:r>
    </w:p>
    <w:p>
      <w:r>
        <w:rPr>
          <w:b/>
        </w:rPr>
        <w:t xml:space="preserve">Quelle: </w:t>
      </w:r>
      <w:r>
        <w:t>https://mcp.opencaselaw.ch/entscheid/ag_gerichte_AGVE_2019_4</w:t>
      </w:r>
    </w:p>
    <w:p>
      <w:r>
        <w:t>FR: AG_GERICHTE AGVE 2019 4 du 1 avril 2019</w:t>
      </w:r>
    </w:p>
    <w:p>
      <w:r>
        <w:t>IT: AG_GERICHTE AGVE 2019 4 del 1 aprile 2019</w:t>
      </w:r>
    </w:p>
    <w:p>
      <w:pPr>
        <w:pStyle w:val="Heading2"/>
      </w:pPr>
      <w:r>
        <w:t>Regeste</w:t>
      </w:r>
    </w:p>
    <w:p>
      <w:r>
        <w:t>4 Art. 449 ZGB</w:t>
      </w:r>
    </w:p>
    <w:p>
      <w:pPr>
        <w:pStyle w:val="Heading2"/>
      </w:pPr>
      <w:r>
        <w:t>Erwägungen</w:t>
      </w:r>
    </w:p>
    <w:p>
      <w:r>
        <w:rPr>
          <w:b/>
        </w:rPr>
        <w:t>E. 4</w:t>
      </w:r>
    </w:p>
    <w:p>
      <w:r>
        <w:t>Art. 449 ZGB Unzulässigkeit der Anordnung einer Begutachtung in einer Einrichtung (Art. 449 ZGB) bei einer bereits mehrfach bestätigten Diagnose, wenn nur geklärt werden muss, wie eine gesundheitliche Störung am besten zu behandeln ist oder wenn es primär um die Klärung der Fragen geht, wie sich die bestehenden psychischen Störungen auf verschiedene Lebens- bereiche auswirken und welche erwachsenenschutzrechtlichen Mass- nahmen allenfalls erforderlich sein könnten. Aus dem Entscheid des Verwaltungsgerichts, 1. Kammer, vom 9. April 2019, in Sachen A. gegen den Beschluss des Familiengerichts Laufenburg (WBE.2019.119). 2019 Fürsorgerische Unterbringung 51 Aus den Erwägungen III. (WBE.2019.119).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