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9 vom 2. Juli 2018</w:t>
      </w:r>
    </w:p>
    <w:p>
      <w:r>
        <w:t>AG Gerichte, 2018-07-02, DE</w:t>
      </w:r>
    </w:p>
    <w:p>
      <w:r>
        <w:rPr>
          <w:b/>
        </w:rPr>
        <w:t xml:space="preserve">Quelle: </w:t>
      </w:r>
      <w:r>
        <w:t>https://mcp.opencaselaw.ch/entscheid/ag_gerichte_AGVE_2018_9</w:t>
      </w:r>
    </w:p>
    <w:p>
      <w:r>
        <w:t>FR: AG_GERICHTE AGVE 2018 9 du 2 juillet 2018</w:t>
      </w:r>
    </w:p>
    <w:p>
      <w:r>
        <w:t>IT: AG_GERICHTE AGVE 2018 9 del 2 luglio 2018</w:t>
      </w:r>
    </w:p>
    <w:p>
      <w:pPr>
        <w:pStyle w:val="Heading2"/>
      </w:pPr>
      <w:r>
        <w:t>Regeste</w:t>
      </w:r>
    </w:p>
    <w:p>
      <w:r>
        <w:t>9 Weiterbildungskosten; Unterhaltszahlungen Vorliegen von Weiterbildungskosten (Berufsaufstiegskosten), wennSteuerliche Berücksichtigung von Unterhaltsnachzahlungen (Erw. 2)</w:t>
      </w:r>
    </w:p>
    <w:p>
      <w:pPr>
        <w:pStyle w:val="Heading2"/>
      </w:pPr>
      <w:r>
        <w:t>Erwägungen</w:t>
      </w:r>
    </w:p>
    <w:p>
      <w:r>
        <w:rPr>
          <w:b/>
        </w:rPr>
        <w:t>E. 9</w:t>
      </w:r>
    </w:p>
    <w:p>
      <w:r>
        <w:t>August 2011 [2C_429/2010] Erw. 2.2.1). Das Periodizitätsprinzip hat denn auch nicht nur eine materiellrechtliche Ausprägung, wonach das Einkommen eines Steuerpflichtigen einer bestimmten Steuer- periode zuzuordnen ist, sondern auch eine verfahrensrechtliche Kom- ponente, indem sämtliche Einkünfte und steuerrelevanten Ausgaben des Steuerpflichtigen für eine Steuerperiode zu deklarieren und mit der zugehörigen Steuerveranlagung definitiv zu erledigen sind (vorbehältlich eines Nachsteuer- oder Revisionsverfahrens). Sowohl dem materiellrechtlichen Gehalt als auch der verfahrensrechtlichen Komponente des Periodizitätsprinzips widerspräche es, wenn Steuer- pflichtige nach Belieben Aufwendungen, welche einer Steuerperiode zuzurechnen sind, in einer späteren Steuerperiode zum Abzug bringen könnten (Urteil des Verwaltungsgerichts vom 3. April 2017 [WBE.2017.19] E. 3.2, bestätigt mit Urteil des Bundesgerichts vom 31. Oktober 2017 [2C_456/2017]). 2.4.2. Nachdem die Zahlung von Fr. 50'000.00 im Jahre 2013 erfolgte, ist der Abzug gemäss Vorgaben des Periodizitätsprinzip auch in die- ser Steuerperiode in voller Höhe zuzulassen. Die Verweigerung des Abzugs mit dem Argument, er sei periodenfremd, führte zu einer ungerechtfertigten Bestrafung des Steuerpflichtigen, der ja bei regel- mässiger Ausrichtung der unveränderten Unterhaltsbeiträge zum vol- len Abzug in den jeweiligen Steuerperioden berechtigt gewesen wäre und diese nur deshalb nicht vollständig bezahlte, weil er (zu Unrecht) glaubte, nicht zur Entrichtung der vollständigen Beträge verpflichtet zu sein. Da mit der Zahlung von Fr. 50'000.00 die eigenmächtig reduzierten Unterhaltsbeiträge über die Jahre 2011 bis 2013 ausgegli- chen werden sollen, ist das satzbestimmende Einkommen entspre- chend zu korrigieren. Dafür bietet sich die Regelung für Kapital- abfindungen für wiederkehrende Leistungen gemäss § 44 StG an: Beim Empfänger von Kapitalabfindungen für wiederkehrende Leistungen wird die Einkommenssteuer unter Berücksichtigung der 2018 Obergericht, Abteilung Verwaltungsgericht 94 übrigen Einkünfte zu dem Steuersatz berechnet, der sich ergäbe, wenn an Stelle der einmaligen Leistung eine entsprechende jährliche Leistung ausgerichtet würde. Rentennachzahlungen sind beim Empfänger als Kapitalabfindungen für wiederkehrende Leistungen zu betrachten, obwohl diese periodischen Leistungen der Vergangen- heit zuzuordnen sind (HANS-JÖRG MÜLLHAUPT, AG-Steuerkom- mentar, § 44 N 2 mit Verweis auf ein Urteil des Verwaltungsgerichts des Kantons Aargau vom 25. April 1995 [BE.94.00242]). Dasselbe muss analog für den Leistenden gelten, wenn dieser einen ent- sprechenden Abzug von seinen Einkünften geltend macht; d.h. es ist das Jahresbetreffnis zu ermitteln. Mit der Zahlung von Fr. 50'000.00 im Jahr 2013 hat der Beschwerdeführer die von ihm vom 1. Oktober 2011 bis 31. Juli 2013 (entsprechend 22 Monate) unrechtmässig reduzierten Unterhaltszahlungen ausgeglichen. Umgerechnet auf eine jährliche Leistung ergibt dies einen Betrag von Fr. 27'272.00 (50'000:22x12), welcher für die Satzbestimmung (anstelle von Fr. 50'000.00)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