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7 vom 17. Juni 2009</w:t>
      </w:r>
    </w:p>
    <w:p>
      <w:r>
        <w:t>AG Gerichte, 2009-06-17, DE</w:t>
      </w:r>
    </w:p>
    <w:p>
      <w:r>
        <w:rPr>
          <w:b/>
        </w:rPr>
        <w:t xml:space="preserve">Quelle: </w:t>
      </w:r>
      <w:r>
        <w:t>https://mcp.opencaselaw.ch/entscheid/ag_gerichte_AGVE_2018_7</w:t>
      </w:r>
    </w:p>
    <w:p>
      <w:r>
        <w:t>FR: AG_GERICHTE AGVE 2018 7 du 17 juin 2009</w:t>
      </w:r>
    </w:p>
    <w:p>
      <w:r>
        <w:t>IT: AG_GERICHTE AGVE 2018 7 del 17 giugno 2009</w:t>
      </w:r>
    </w:p>
    <w:p>
      <w:pPr>
        <w:pStyle w:val="Heading2"/>
      </w:pPr>
      <w:r>
        <w:t>Regeste</w:t>
      </w:r>
    </w:p>
    <w:p>
      <w:r>
        <w:t>II. Steuern 7 Feststellung Steuerpflicht</w:t>
      </w:r>
    </w:p>
    <w:p>
      <w:pPr>
        <w:pStyle w:val="Heading2"/>
      </w:pPr>
      <w:r>
        <w:t>Volltext</w:t>
      </w:r>
    </w:p>
    <w:p>
      <w:r>
        <w:t>Aargau Obergericht Verwaltungsgericht 02.02.2018 AGVE 2018 7</w:t>
      </w:r>
    </w:p>
    <w:p>
      <w:r>
        <w:t>II. Steuern 7 Feststellung Steuerpflicht</w:t>
      </w:r>
    </w:p>
    <w:p>
      <w:r>
        <w:t>AGVE 2018 - Band 7 2018 Steuern 77 II. Steuern 7 Feststellung Steuerpflicht Kein Anspruch auf Feststellung der unbeschränkten Steuerpflicht, wenn unstreitig mindestens eine beschränkte Steuerpflicht besteht Aus dem Entscheid des Verwaltungsgerichts, 2. Kammer, vom 28. Februar 2018, in Sachen A. gegen KStA und Gemeinderat Y. (WBE.2017.490). Aus den Erwägungen 1. Das Spezialverwaltungsgericht hat im angefochtenen Entscheid zunächst geprüft, ob die Steuerkommission Y. einen negativen Fest- stellungsentscheid betreffend die unbeschränkte Steuerpflicht des Beschwerdeführers hätte fällen dürfen. Dabei ist es zum Ergebnis ge- langt, dass in der hier vorliegenden Konstellation - unbestrittenes Bestehen einer Steuerpflicht, wobei einzig streitig ist, ob (nur) eine beschränkte oder eine unbeschränkte Steuerpflicht besteht - kein An- lass für eine separate Feststellung der Steuerpflicht besteht. Dement- sprechend hat das Spezialverwaltungsgericht den angefochtenen Ent- scheid aufgehoben und die Angelegenheit zur Veranlagung des Be- schwerdeführers an die Steuerkommission Y. zurückgewiesen. 1.1. Wie bereits im verwaltungsgerichtlichen Urteil vom 17. Juni 2009 (WBE.2008.328 = AGVE 2009, S. 137) festgehalten, ist das Verwaltungsgericht bei Fehlen einer ausdrücklichen gesetzlichen Grundlage für den Erlass von Feststellungsentscheiden im kantona- len Steuerrecht hinsichtlich der Zulässigkeit solcher Entscheide in Anlehnung an die insoweit sehr restriktive Praxis des Bundesgerichts ebenfalls sehr zurückhaltend: In Veranlagungen sind über die Festle- gung der Steuerfaktoren hinausgehende rechtskraftfähige Feststel- 2018 Obergericht, Abteilung Verwaltungsgericht 78 lungen ausgeschlossen. Ebenso sind selbstständige Feststellungsver- fügungen im Steuerrecht, abgesehen vom Fall der Feststellung der Steuerpflicht, grundsätzlich ausgeschlossen. Nur aus zwingenden praktischen Gründen kann in besonderen Einzelsituationen die Vor- wegnahme eines Entscheids über eine Rechtsfrage geboten sein, ob- wohl es mangels Verwirklichung eines Steuertatbestands noch nicht zu einer Veranlagung kommt. Nur für solche Sonderfälle behält die verwaltungsgerichtliche Praxis das Recht bzw. die Pflicht zum Erlass einer selbstständigen Feststellungsverfügung vor. 1.2. Hier steht fest, dass der Beschwerdeführer per 31. Dezember 2014 im Kanton Aargau steuerpflichtig war. Streitig ist einzig, ob er (nur) qua wirtschaftlicher Zugehörigkeit (Eigentum an der Liegen- schaft in Y.; § 17 Abs. 1 lit. b StG) der beschränkten Steuerpflicht oder qua Wohnsitz in Y. (§ 16 Abs. 1 StG) im Kanton Aargau der un- beschränkten Steuerpflicht unterliegt. Für interkantonale Verhältnisse hat das Bundesgericht mit Blick auf doppelbesteuerungsrechtlich erhebliche Sachverhalte aus dem Verbot der interkantonalen Doppelbesteuerung gemäss Art. 127 Abs. 3 BV direkt, d.h. ohne dass es dafür einer weiteren gesetzlichen Grundlage im Bundes- oder kantonalen Recht bedürfte, einen An- spruch des Bürgers auf Vorausbeurteilung der Steuerhoheitsfrage ab- geleitet (BGE 137 I 273 Erw. 3.3.2 S. 278; Urteil des Bundesgerichts 2C_1025/2016 vom 14. November 2016 Erw. 3.2). Ist die Steuer- hoheit im interkantonalen Verhältnis bestritten, so kann und muss die kantonale Steuerverwaltung, die sich zur Besteuerung zuständig er- achtet, in dieser Frage einen Feststellungentscheid erlassen, ehe sie das Veranlagungsverfahren fortsetzen kann. Zur Begründung dieser Praxis hat das Bundesgericht darauf verwiesen, dass derjenige, der die Steuerhoheit eines Kantons gemäss dem Doppelbesteuerungs- verbot bestreite, in diesem Kanton weder mit einer Steuer belegt noch auch nur in ein Steuerveranlagungsverfahren einbezogen wer- den dürfe. Daher müsse dem zur Veranlagung Herangezogenen ein Anspruch auf einen Vorentscheid darüber zustehen, ob er einer be- stimmten Steuerhoheit überhaupt unterliegt. 2018 Steuern 79 Ein solcher Entscheid muss und darf aber nur dann gefällt werden, wenn die kantonale Steuerhoheit als solche, d.h. der Bestand der subjektiven Steuerpflicht, in Frage steht. Ist das Bestehen einer subjektiven Steuerpflicht ohnehin zu bejahen und lediglich noch streitig, ob eine der Steuerhoheit eines Kantons unterworfene Person beschränkt oder unbeschränkt steuerpflichtig ist, so betrifft dies nicht den Bestand, sondern den Umfang der subjektiven Steuerpflicht. Ein Vorentscheid betreffend den Umfang der subjektiven Steuerpflicht ist somit weder bundes- noch kantonalrechtlich geboten und, wie die Vorinstanz zutreffend erkannt hat, auch gar nicht zulässig (ebenso bereits das Verwaltungsgericht des Kantons Zürich, Urteil vom 31. Januar 1997 = StE 1997 B 11.3 Nr. 10; vgl. auch Urteil vom 18. Dezember 2002 = StE 2003 B 92.51 Nr. 9; ausserdem PETER LOCHER, Kommentar DBG, I. Teil, Therwil 2004, Einführung zu Art. 3 ff. N 10 sowie MARTIN ZWEIFEL/HUGO CASANOVA, Schwei- zerisches Steuerverfahrensrecht, Zürich 2008, S. 256 § 20 Rz 9). Zu Recht hat die Vorinstanz daher den Feststellungsentscheid der Steuerkommission Y., wonach der Beschwerdeführer in Y. lediglich der beschränkten Steuerpflicht unterliegt, aufgehoben und damit den Rekurs implizit teilweise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