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38 vom 8. März 2017</w:t>
      </w:r>
    </w:p>
    <w:p>
      <w:r>
        <w:t>AG Gerichte, 2017-03-08, DE</w:t>
      </w:r>
    </w:p>
    <w:p>
      <w:r>
        <w:rPr>
          <w:b/>
        </w:rPr>
        <w:t xml:space="preserve">Quelle: </w:t>
      </w:r>
      <w:r>
        <w:t>https://mcp.opencaselaw.ch/entscheid/ag_gerichte_AGVE_2018_38</w:t>
      </w:r>
    </w:p>
    <w:p>
      <w:r>
        <w:t>FR: AG_GERICHTE AGVE 2018 38 du 8 mars 2017</w:t>
      </w:r>
    </w:p>
    <w:p>
      <w:r>
        <w:t>IT: AG_GERICHTE AGVE 2018 38 del 8 marzo 2017</w:t>
      </w:r>
    </w:p>
    <w:p>
      <w:pPr>
        <w:pStyle w:val="Heading2"/>
      </w:pPr>
      <w:r>
        <w:t>Regeste</w:t>
      </w:r>
    </w:p>
    <w:p>
      <w:r>
        <w:t>I. Zivilrecht (Zivilgesetzbuch) A. Kindes- und Erwachsenenschutzrecht 38 Art. 404 ZGB; § 13 V KESR; § 43 Abs. 2 EG ZGB</w:t>
      </w:r>
    </w:p>
    <w:p>
      <w:pPr>
        <w:pStyle w:val="Heading2"/>
      </w:pPr>
      <w:r>
        <w:t>Volltext</w:t>
      </w:r>
    </w:p>
    <w:p>
      <w:r>
        <w:t>Aargau Obergericht Zivilkammern 08.03.2017 AGVE 2018 38 Argovie Obergericht Zivilkammern 08.03.2017 AGVE 2018 38 Argovia Obergericht Zivilkammern 08.03.2017 AGVE 2018 38</w:t>
      </w:r>
    </w:p>
    <w:p>
      <w:r>
        <w:t>I. Zivilrecht (Zivilgesetzbuch) A. Kindes- und Erwachsenenschutzrecht 38 Art. 404 ZGB; § 13 V KESR; § 43 Abs. 2 EG ZGB</w:t>
      </w:r>
    </w:p>
    <w:p>
      <w:r>
        <w:t>AGVE 2018 - Band 38 2018 Zivilrecht 355 I. Zivilrecht (Zivilgesetzbuch) A. Kindes- und Erwachsenenschutzrecht 38 Art. 404 ZGB; § 13 V KESR; § 43 Abs. 2 EG ZGB Die nach § 13 V KESR vom Familiengericht als KESB festgesetzte Ent- schädigung wird in aller Regel das im Rahmen der Auftragserteilung vereinbarte Honorar des privaten Fachbeistands nicht abdecken (analog zu den Vollkosten der Berufsbeistandschaft, welche durch die Entschädi- gung nicht gedeckt werden). Diese Differenz ist von der Gemeinde zu tra- gen. Aus dem Entscheid des Obergerichts, Kammer für Kindes- und Erwachsenenschutz, vom 8. März 2018, in Sachen J.H. (XBE.2017.85). Aus den Erwägungen 3.4. Anzumerken gilt noch, dass, wenn wie vorliegend ein privater Fachbeistand mit den gleichen Qualifikationen wie ein Berufsbei- stand eingesetzt wird, das vom Beistand veranschlagte seinem Gesamtaufwand entsprechende Honorar in der Regel nicht mit der Entschädigung gemäss Art. 404 ZGB i.V.m. § 13 V KESR überein- stimmt. Die nach § 13 V KESR vom Familiengericht als KESB fest- gesetzte Entschädigung wird in aller Regel das im Rahmen der Auf- tragserteilung vereinbarte Honorar nicht abdecken (analog zu den Vollkosten der Berufsbeistandschaft, welche durch die Entschädi- gung nicht gedeckt werden). Diese Differenz ist von der Gemeinde zu tragen, sei es gestützt auf § 43 Abs. 2 EG ZGB oder aufgrund einer entsprechenden Vereinbarung der Gemeinde mit dem privaten Fachbeistand. Es wäre nicht gerechtfertigt, eine Gemeinde in dieser Situation - also wenn die Differenzkosten der verbeiständeten Person überwälzt werden - gegenüber einer Gemeinde mit einer Berufsbei- standschaft zu bevorteilen.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