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32 vom 23. April 2018</w:t>
      </w:r>
    </w:p>
    <w:p>
      <w:r>
        <w:t>AG Gerichte, 2018-04-23, DE</w:t>
      </w:r>
    </w:p>
    <w:p>
      <w:r>
        <w:rPr>
          <w:b/>
        </w:rPr>
        <w:t xml:space="preserve">Quelle: </w:t>
      </w:r>
      <w:r>
        <w:t>https://mcp.opencaselaw.ch/entscheid/ag_gerichte_AGVE_2018_32</w:t>
      </w:r>
    </w:p>
    <w:p>
      <w:r>
        <w:t>FR: AG_GERICHTE AGVE 2018 32 du 23 avril 2018</w:t>
      </w:r>
    </w:p>
    <w:p>
      <w:r>
        <w:t>IT: AG_GERICHTE AGVE 2018 32 del 23 aprile 2018</w:t>
      </w:r>
    </w:p>
    <w:p>
      <w:pPr>
        <w:pStyle w:val="Heading2"/>
      </w:pPr>
      <w:r>
        <w:t>Regeste</w:t>
      </w:r>
    </w:p>
    <w:p>
      <w:r>
        <w:t>32 Anwaltsprüfung</w:t>
      </w:r>
    </w:p>
    <w:p>
      <w:pPr>
        <w:pStyle w:val="Heading2"/>
      </w:pPr>
      <w:r>
        <w:t>Volltext</w:t>
      </w:r>
    </w:p>
    <w:p>
      <w:r>
        <w:t>Aargau Obergericht Verwaltungsgericht 03.04.2018 AGVE 2018 32</w:t>
      </w:r>
    </w:p>
    <w:p>
      <w:r>
        <w:t>32 Anwaltsprüfung</w:t>
      </w:r>
    </w:p>
    <w:p>
      <w:r>
        <w:t>AGVE 2018 - Band 32 2018 Anwalts- und Notariatsrecht 301 32 Anwaltsprüfung Instrumente wie Lösungsskizzen und Punkteschemen gewährleisten Transparenz und konkretisieren den Bewertungsmassstab bei der schrift- lichen Prüfung. Aus dem Entscheid des Verwaltungsgerichts, 3. Kammer, vom 23. April 2018, in Sachen A. gegen Anwaltskommission (WBE.2017.521). 2018 Obergericht, Abteilung Verwaltungsgericht 302 Aus den Erwägungen 6. Abschliessend rechtfertigt sich folgender Hinweis: Bei der Be- wertung von schriftlichen Prüfungen können insbesondere Lösungs- skizzen und Bewertungsschemen zusätzlich Transparenz gewähr- leisten (vgl. BVR 2012, S. 152, Erw. 4.4.3; Urteil des Bundesgerichts vom 2. November 2011 [2D_11/2011], Erw. 4). Im Bereich nicht akademischer Fachprüfungen sind mitunter Lösungsschlüssel ge- bräuchlich (vgl. VGE vom 6. Oktober 2016 [WBE.2016.180], Erw. II/4). Bei universitären Examensleistungen ist der Einsatz von Punkterastern üblich, welche den Prüfenden und der Rechtsmit- telinstanz die Vergleichbarkeit zwischen Prüfungsarbeit und Lösungsschema erleichtern (vgl. BVR 1999, S. 349, Erw. 3a mit Hinweisen). Musterlösungen und Punkteschemen ermöglichen in ge- nereller Hinsicht eine rechtsgleiche Bewertung der Prüfungsarbeiten (vgl. BVR 2010, S. 49, Erw. 3.3.1). Auch bei schriftlichen Anwalts- prüfungen scheint der Einsatz von Instrumenten angezeigt, welche den Bewertungsmassstab konkretisieren. Dadurch wird dem Prüfungsexperten nicht etwa verunmöglicht, den Gesamteindruck in die Benotung einfliessen zu lassen oder im Einzelfall - abweichend vom vorgegebenen Schema - Zusatzpunkte zu vergeben oder Punkt- abzüge vorzunehmen. Sie helfen jedoch mit, dass sich die Bewer- tungen auf sachliche Gründe stützen sowie transparent, nachvoll- ziehbar und rechtsgleich erfolgen. Gleichzeitig gewährleisten sie die Überprüfung in einem allfälligen Rechtsmittelverfahren. Im Hinblick auf mögliche weitere Beschwerdefälle empfiehlt es sich daher, den Korrekturen der schriftlichen Anwaltsprüfungen entsprechende Punkteschemen zu 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