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44 vom 3. Juni 2017</w:t>
      </w:r>
    </w:p>
    <w:p>
      <w:r>
        <w:t>AG Gerichte, 2017-06-03, DE</w:t>
      </w:r>
    </w:p>
    <w:p>
      <w:r>
        <w:rPr>
          <w:b/>
        </w:rPr>
        <w:t xml:space="preserve">Quelle: </w:t>
      </w:r>
      <w:r>
        <w:t>https://mcp.opencaselaw.ch/entscheid/ag_gerichte_AGVE_2017_44</w:t>
      </w:r>
    </w:p>
    <w:p>
      <w:r>
        <w:t>FR: AG_GERICHTE AGVE 2017 44 du 3 juin 2017</w:t>
      </w:r>
    </w:p>
    <w:p>
      <w:r>
        <w:t>IT: AG_GERICHTE AGVE 2017 44 del 3 giugno 2017</w:t>
      </w:r>
    </w:p>
    <w:p>
      <w:pPr>
        <w:pStyle w:val="Heading2"/>
      </w:pPr>
      <w:r>
        <w:t>Regeste</w:t>
      </w:r>
    </w:p>
    <w:p>
      <w:r>
        <w:t>XII. Verwaltungsrechtspflege44 GutachtenIm erstinstanzlichen Verwaltungsverfahren ist grundsätzlich keine Belehrung des Sachverständigen über die Strafbarkeit eines falschen Gutachtens vorzunehmen; eine unzureichende Instruktion des Experten führtnicht zur Unverwertbarkeit des Gutachtens und ist im Rahmen...</w:t>
      </w:r>
    </w:p>
    <w:p>
      <w:pPr>
        <w:pStyle w:val="Heading2"/>
      </w:pPr>
      <w:r>
        <w:t>Volltext</w:t>
      </w:r>
    </w:p>
    <w:p>
      <w:r>
        <w:t>Aargau Obergericht Verwaltungsgericht 03.06.2017 AGVE 2017 44</w:t>
      </w:r>
    </w:p>
    <w:p>
      <w:r>
        <w:t>XII. Verwaltungsrechtspflege44 GutachtenIm erstinstanzlichen Verwaltungsverfahren ist grundsätzlich keine Belehrung des Sachverständigen über die Strafbarkeit eines falschen Gutachtens vorzunehmen; eine unzureichende Instruktion des Experten führtnicht zur Unverwertbarkeit des Gutachtens und ist im Rahmen...</w:t>
      </w:r>
    </w:p>
    <w:p>
      <w:r>
        <w:t>AGVE - Archiv 2017 Verwaltungsrechtspflege 253 XII. Verwaltungsrechtspflege 44 Gutachten Im erstinstanzlichen Verwaltungsverfahren ist grundsätzlich keine Beleh- rung des Sachverständigen über die Strafbarkeit eines falschen Gutach- tens vorzunehmen; eine unzureichende Instruktion des Experten führt nicht zur Unverwertbarkeit des Gutachtens und ist im Rahmen der Be- weiswürdigung zu berücksichtigen. Aus dem Entscheid des Verwaltungsgerichts, 3. Kammer, vom 7. Juni 2017, i.S. A. gegen Regierungsrat (WBE.2016.246) Aus den Erwägungen 3. 3.1. In formeller Hinsicht rügt der Beschwerdeführer schliesslich, vor der Erstellung des psychiatrischen Gutachtens sei keine Inpflicht- nahme der Gutachterin erfolgt. Die Sachverständige sei zuvor nicht auf die Wahrheitspflicht, das Amtsgeheimnis und die Neutralitäts- pflicht hingewiesen worden. Auch ein Hinweis auf die Straffolgen des falschen Gutachtens sei unterblieben. Entgegen den vorinstanzli- chen Erwägungen sei die Inpflichtnahme aufgrund des Verweises auf das Zivilprozessrecht Voraussetzung für die Verwertung des Gutach- tens. Die Inpflichtnahme habe sich umso mehr aufgedrängt, als das Gutachten der PDAG nicht durch den Chefarzt Dr. B., sondern durch dipl. psych. C., Psychologin FSP Forensik, erstattet worden sei. Es sei nicht verwertbar. 3.2. Gemäss § 24 Abs. 1 VRPG kann sich die Behörde jener Beweismittel bedienen, die sie nach pflichtgemässem Ermessen zur Ermittlung des Sachverhalts für erforderlich hält. Sie kann insbeson- 2017 Obergericht, Abteilung Verwaltungsgericht 254 dere Expertisen anordnen (lit. d). § 24 Abs. 4 Satz 1 VRPG verweist auf das Zivilprozessrecht, wenn die Unterschiede der beiden Verfah- rensarten dies nicht ausschliessen. Soweit der Beschwerdeführer vorbringen lässt, die Fachstelle SIWAS der Kantonspolizei hätte die Gutachterin entsprechend Art. 184 Abs. 2 ZPO auf die Strafbarkeit eines falschen Gutachtens nach Art. 307 StGB hinweisen müssen, trifft dies nicht zu. Im erstin- stanzlichen Verwaltungsverfahren unterliegen Sachverständige grundsätzlich keiner Wahrheitspflicht gemäss Art. 307 StGB (vgl. K ASPAR P LÜSS , in: A LAIN G RIFFEL [Hrsg.], Kommentar zum Verwaltungsrechtspflegegesetz des Kantons Zürich, 3. Auflage, Zürich/Basel/Genf 2014, § 7 N 74). Die Anwendbarkeit dieses Arti- kels auf Verfahren vor Beamten setzt entsprechend Art. 309 StGB deren ausdrückliche gesetzliche Ermächtigung zur Zeugenbefragung voraus (vgl. V ERA D ELNON /B ERNHARD R ÜDY , in: Basler Kommen- tar, Strafgesetzbuch II, Art. 111-401 StGB, 2003, Art. 309 N 3). Ge- mäss § 24 Abs. 2 VRPG ist die Zeugeneinvernahme bei Verwal- tungsverfahren nur im Rechtsmittelverfahren zulässig, weshalb die Strafbestimmung im Grundsatz nur dort zur Anwendung gelangt (vgl. AGVE 1986, S. 338). Art. 184 Abs. 2 ZPO betreffend die In- pflichtnahme des Sachverständigen unter Hinweis auf die Straffolgen eines falschen Gutachtens ist somit im erstinstanzlichen Verwal- tungsverfahren grundsätzlich nicht analog anwendbar. Damit können fehlende Hinweise auf die Pflichten von Sachverständigen im Gut- achtensauftrag nicht zur Unverwertbarkeit des Gutachtens führen. Hingegen stellt sich die Frage nach der analogen Anwendbar- keit der übrigen Grundsätze von Art. 183 ff. ZPO, wenn erstinstanz- liche Verwaltungsbehörden gestützt auf § 24 Abs. 1 lit. d VRPG Ex- pertisen anordnen (vgl. A LFRED K ÖLZ /J ÜRG B OSSHART /M ARTIN R ÖHL , Kommentar zum Verwaltungsrechtspflegegesetz des Kantons Zürich, 2. Auflage, Zürich 1999, § 7 N 27 f.). Nachdem der Be- schwerdeführer keine Befangenheit der Gutachterin geltend macht und sich die Rüge der Verletzung des rechtlichen Gehörs bezüglich der Einholung des Gutachtens als unbegründet erwies, können Vor- schriften betreffend die vorgängige Anhörung (vgl. Art. 183 Abs. 1 Satz 2 und 185 Abs. 2 ZPO) und Ausstandsgründe (vgl. Art. 183 2017 Verwaltungsrechtspflege 255 Abs. 2 ZPO) nicht tangiert sein. Relevant sein können hingegen Modalitäten der Instruktion der sachverständigen Person (vgl. Art. 185 Abs. 1 ZPO) sowie fehlende Hinweise auf deren Pflichten gemäss Art. 184 Abs. 1 ZPO. Das Verwaltungsverfahrensrecht wird von der Untersuchungs- maxime beherrscht, d.h. die Behörden ermitteln den Sachverhalt (un- ter Beachtung der Vorbringen der Parteien) von Amtes wegen und stellen die dazu notwendigen Untersuchungen an (§ 17 Abs. 1 VRPG). Der Sachverhaltsabklärung dient unter anderem die Exper- tise (§ 24 Abs. 1 VRPG). Deren Beweiskraft (bzw. generell das Ergebnis der Untersuchung) würdigt die Behörde frei (§ 17 Abs. 2 VRPG). Die sachverständige Person ist von Gesetzes wegen zur Wahrheit verpflichtet (Art. 184 Abs. 1 ZPO); eines zusätzlichen Hin- weises durch die den Auftrag erteilende Verwaltungsbehörde bedarf es nicht. Die Vorschrift, wonach die sachverständige Person gebüh- rend zu instruieren ist (Art. 185 Abs. 1 ZPO), bildet - im Gegensatz zur Strafbarkeitsbelehrung gemäss Art. 184 Abs. 2 ZPO bei gericht- lichen Gutachten - keine Verwertbarkeitsvoraussetzung. Aus diesen Gründen ist es allein eine Frage der Beweiswürdigung, welche Kon- sequenzen allenfalls daraus zu ziehen sind, dass der Sachverständige nicht explizit auf die Wahrheitspflicht hingewiesen und/oder von der Verwaltungsbehörde nicht gehörig instruiert worden ist. Dasselbe gilt in Bezug auf eine allfällige Verletzung der Ausstandsvorschriften (vgl. Art. 183 Abs. 2 ZPO). Wurden die erwähnten Vorschriften ver- letzt, so ist dem entsprechenden Gutachten unter Umständen ein deutlich geringerer Beweiswert zuzumessen als einem gerichtlichen Gutachten; andernfalls mag der Beweiswert unter Umständen ver- gleichbar sein. Im konkreten Fall darf aufgrund der regelmässig von den PDAG erstatteten Gutachten davon ausgegangen werden, dass deren Verantwortliche mit den Pflichten von Sachverständigen ver- traut sind. Insbesondere sind vorliegend keine Anhaltspunkte für eine fehlende Neutralität der Gutachterin ersichtlich. Weiter ergibt sich aus dem Gutachten, dass der Expertin die Aufgabenstellung hinrei- chend klar war. Aufgrund der Praxis ist überdies notorisch, dass psychiatrischen Begutachtungen durch die PDAG in zahlreichen Ge- bieten des Verwaltungsrechts grosse Bedeutung zukommt. Es ist da- 2017 Obergericht, Abteilung Verwaltungsgericht 256 her unter formellen Gesichtspunkten nicht zu beanstanden, dass die Vorinstanz auf das von der Kantonspolizei angeordnete Gutachten abstellte und diesem einen hohen Stellenwert beimass.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