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2016 5 vom 2. Juni 2016</w:t>
      </w:r>
    </w:p>
    <w:p>
      <w:r>
        <w:t>AG Gerichte, 2016-06-02, DE</w:t>
      </w:r>
    </w:p>
    <w:p>
      <w:r>
        <w:rPr>
          <w:b/>
        </w:rPr>
        <w:t xml:space="preserve">Quelle: </w:t>
      </w:r>
      <w:r>
        <w:t>https://mcp.opencaselaw.ch/entscheid/ag_gerichte_AGVE_2016_5</w:t>
      </w:r>
    </w:p>
    <w:p>
      <w:r>
        <w:t>FR: AG_GERICHTE AGVE 2016 5 du 2 juin 2016</w:t>
      </w:r>
    </w:p>
    <w:p>
      <w:r>
        <w:t>IT: AG_GERICHTE AGVE 2016 5 del 2 giugno 2016</w:t>
      </w:r>
    </w:p>
    <w:p>
      <w:pPr>
        <w:pStyle w:val="Heading2"/>
      </w:pPr>
      <w:r>
        <w:t>Regeste</w:t>
      </w:r>
    </w:p>
    <w:p>
      <w:r>
        <w:t>5 Art. 5 und 64 MVGHaftung der Militärversicherung für eine während der Rekrutenschuleerstmals aufgetretene Bechterew-Erkrankung bejaht, da der Entlastungsbeweis nach Art. 5 Abs. 2 MVG nicht erbracht werden konnte.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Beschwerdegegnerin bringt eventualiter vor, der anlässlich der Rekrutenschule aufgetretene Schub sei spätestens Ende Novem- ber / Anfang Dezember 2013 nach einem beschwerde- und behand- lungsfreien Intervall behoben gewesen, womit die allfällige Haftung ende. Nach dem in Erwägung 4.3. Festgestellten gelingt der Be- schwerdegegnerin der Entlastungsbeweis nach Art. 5 Abs. 2 lit. a MVG nicht. Somit besteht gemäss Abs. 3 kein Raum für eine Ver- schlimmerungshaftung. Ferner verfängt der Verweis auf J ÜRG M AESCHI (a.a.O., N. 14 zu Art. 6 MVG) nicht. Art. 6 MVG behan- delt die Feststellung von Gesundheitsschädigungen nach dem Dienst. Vorliegend wurde diese aber während des Dienstes festgestellt. So- dann berichtete Dr. med. M. nur von einer Remission, was ein Nach- lassen der Krankheitszeichen ist (Pschyrembel, Klinisches Wörter- buch, 266. Aufl. 2014, S. 1830), aber keine Heilung. Entsprechend 2016 Obergericht, Abteilung Versicherungsgericht 66 äusserte sich auch Dr. med. T; die Bechterew-Erkrankung sei nicht heilbar. Im Zeitpunkt der Begutachtung führte Dr. T die Beschwerden "weniger" auf eine aktive Entzündung als auf eine Überlastung im lumbosacralen Übergang bei nachgewiesener leichter Spondylolis- thesis zurück. Der Hinweis der Beschwerdegegnerin auf die Bech- terew-fremden Beschwerden ändert ebenfalls nichts an der grundsätzlichen Haftung der Beschwerdegegnerin, die sich nur auf die Bechterew-Erkrankung beschränkt.</w:t>
      </w:r>
    </w:p>
    <w:p>
      <w:r>
        <w:rPr>
          <w:b/>
        </w:rPr>
        <w:t>E. 6.1</w:t>
      </w:r>
    </w:p>
    <w:p>
      <w:r>
        <w:t>Zusammengefasst ist die Beschwerde gutzuheissen und der angefochtene Einspracheentscheid aufzuheben. Die Beschwerdegeg- nerin haftet für die Gesundheitsschädigung (Bechterew-Erkrankung) des Beschwerdeführers.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