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4 vom 1. Februar 2016</w:t>
      </w:r>
    </w:p>
    <w:p>
      <w:r>
        <w:t>AG Gerichte, 2016-02-01, DE</w:t>
      </w:r>
    </w:p>
    <w:p>
      <w:r>
        <w:rPr>
          <w:b/>
        </w:rPr>
        <w:t xml:space="preserve">Quelle: </w:t>
      </w:r>
      <w:r>
        <w:t>https://mcp.opencaselaw.ch/entscheid/ag_gerichte_AGVE_2016_4</w:t>
      </w:r>
    </w:p>
    <w:p>
      <w:r>
        <w:t>FR: AG_GERICHTE AGVE 2016 4 du 1 février 2016</w:t>
      </w:r>
    </w:p>
    <w:p>
      <w:r>
        <w:t>IT: AG_GERICHTE AGVE 2016 4 del 1 febbraio 2016</w:t>
      </w:r>
    </w:p>
    <w:p>
      <w:pPr>
        <w:pStyle w:val="Heading2"/>
      </w:pPr>
      <w:r>
        <w:t>Regeste</w:t>
      </w:r>
    </w:p>
    <w:p>
      <w:r>
        <w:t>4 Art. 8 und 21 IVG; Art. 14 IVV; Art. 2 HVI; Ziff. 10.05 HVI-AnhangPrüfung des Anspruchs auf invaliditätsbedingte Abänderungen vonMotorfahrzeugen als kostspielige Hilfsmittelversorgung. In begründetenAusnahmen kann dabei von den Preislimiten gemäss dem entsprechendenKreisschreiben des Bundesamtes für...</w:t>
      </w:r>
    </w:p>
    <w:p>
      <w:pPr>
        <w:pStyle w:val="Heading2"/>
      </w:pPr>
      <w:r>
        <w:t>Erwägungen</w:t>
      </w:r>
    </w:p>
    <w:p>
      <w:r>
        <w:rPr>
          <w:b/>
        </w:rPr>
        <w:t>E. 4</w:t>
      </w:r>
    </w:p>
    <w:p>
      <w:r>
        <w:t>Zusammenfassend ergibt sich damit, dass die Beschwerde- gegnerin die Kosten des automatischen Getriebes von EUR 2'150.00 vollumfänglich und nicht bloss teilweise im Umfang von Fr. 1'300.00 zu übernehmen hat. Ein Anspruch auf die Lederausstattung "Lugano" 2016 Obergericht, Abteilung Versicherungsgericht 62 und die Standheizung besteht demgegenüber nicht. Die Beschwerde ist damit teilweise gutzuheissen und die Verfügung der Beschwer- degegnerin vom 16. Juli 2015 entsprechend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