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39 vom 3. Dezember 2016</w:t>
      </w:r>
    </w:p>
    <w:p>
      <w:r>
        <w:t>AG Gerichte, 2016-12-03, DE</w:t>
      </w:r>
    </w:p>
    <w:p>
      <w:r>
        <w:rPr>
          <w:b/>
        </w:rPr>
        <w:t xml:space="preserve">Quelle: </w:t>
      </w:r>
      <w:r>
        <w:t>https://mcp.opencaselaw.ch/entscheid/ag_gerichte_AGVE_2016_39</w:t>
      </w:r>
    </w:p>
    <w:p>
      <w:r>
        <w:t>FR: AG_GERICHTE AGVE 2016 39 du 3 décembre 2016</w:t>
      </w:r>
    </w:p>
    <w:p>
      <w:r>
        <w:t>IT: AG_GERICHTE AGVE 2016 39 del 3 dicembre 2016</w:t>
      </w:r>
    </w:p>
    <w:p>
      <w:pPr>
        <w:pStyle w:val="Heading2"/>
      </w:pPr>
      <w:r>
        <w:t>Regeste</w:t>
      </w:r>
    </w:p>
    <w:p>
      <w:r>
        <w:t>39 Sozialhilfe; interkantonale Zuständigkeitkantonalem Kompetenzkonflikt gestützt auf § 6 Abs. 2 SPGkeit verneint, durch die Aufsichtsbehörde widerrufen, ist das Zuständigkeitsverfahren von Amtes wegen einzuleiten.</w:t>
      </w:r>
    </w:p>
    <w:p>
      <w:pPr>
        <w:pStyle w:val="Heading2"/>
      </w:pPr>
      <w:r>
        <w:t>Erwägungen</w:t>
      </w:r>
    </w:p>
    <w:p>
      <w:r>
        <w:rPr>
          <w:b/>
        </w:rPr>
        <w:t>E. 2</w:t>
      </w:r>
    </w:p>
    <w:p>
      <w:r>
        <w:t>Zu beanstanden ist jedoch die Anweisung der Vorinstanz an den Gemeinderat A., entweder die in Frage stehende Kostengutsprache subsidiär zu leisten oder aber umgehend die Zuständigkeitsfrage dem Kantonalen Sozialdienst zum Entscheid zu unterbreiten. Die Vorin- stanz hätte die Beschwerde als Antrag um Prüfung der Zuständigkeit entgegennehmen und der Kantonale Sozialdienst ein Zuständigkeits- verfahren einleiten müssen. Dieser wäre gehalten gewesen, mit der nach Art. 29 Abs. 1 ZUG zuständigen kantonalen Amtsstelle von C. eine Klärung der Zuständigkeit herbeizuführen.</w:t>
      </w:r>
    </w:p>
    <w:p>
      <w:r>
        <w:rPr>
          <w:b/>
        </w:rPr>
        <w:t>E. 3</w:t>
      </w:r>
    </w:p>
    <w:p>
      <w:r>
        <w:t>Zusammenfassend ist die Beschwerde teilweise gutzuheissen und sind Anweisung und Kostenverlegung im angefochtenen Ent- scheid aufzuheben. Die Angelegenheit ist an den Kantonalen Sozial- dienst zur Durchführung eines Zuständigkeitsverfahrens zurückzu- weisen. In diesem Verfahren kann unter Beteiligung und Wahrung der Verfahrensrechte der involvierten Gemeinwesen geklärt werden, ob der Unterstützungswohnsitz der Beschwerdegegnerin im Kanton Aargau beendet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