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27 vom 3. August 2016</w:t>
      </w:r>
    </w:p>
    <w:p>
      <w:r>
        <w:t>AG Gerichte, 2016-08-03, DE</w:t>
      </w:r>
    </w:p>
    <w:p>
      <w:r>
        <w:rPr>
          <w:b/>
        </w:rPr>
        <w:t xml:space="preserve">Quelle: </w:t>
      </w:r>
      <w:r>
        <w:t>https://mcp.opencaselaw.ch/entscheid/ag_gerichte_AGVE_2016_27</w:t>
      </w:r>
    </w:p>
    <w:p>
      <w:r>
        <w:t>FR: AG_GERICHTE AGVE 2016 27 du 3 août 2016</w:t>
      </w:r>
    </w:p>
    <w:p>
      <w:r>
        <w:t>IT: AG_GERICHTE AGVE 2016 27 del 3 agosto 2016</w:t>
      </w:r>
    </w:p>
    <w:p>
      <w:pPr>
        <w:pStyle w:val="Heading2"/>
      </w:pPr>
      <w:r>
        <w:t>Regeste</w:t>
      </w:r>
    </w:p>
    <w:p>
      <w:r>
        <w:t>27 Gebäudelänge gemäss § 11 ABauVkörper je einzeln oder zusammen zu messen ist, beurteilt sich inerster Linie nach dem optischen Erscheinungsbild.telt: Massgebend ist die Länge an der Seite des kleinsten Rechtecks(unter Weglassung von Anbauten und vorspringenden Gebäudeteilen). Die vertikale Gliederung...</w:t>
      </w:r>
    </w:p>
    <w:p>
      <w:pPr>
        <w:pStyle w:val="Heading2"/>
      </w:pPr>
      <w:r>
        <w:t>Erwägungen</w:t>
      </w:r>
    </w:p>
    <w:p>
      <w:r>
        <w:rPr>
          <w:b/>
        </w:rPr>
        <w:t>E. 27</w:t>
      </w:r>
    </w:p>
    <w:p>
      <w:r>
        <w:t>September 2006 fest, gemäss § 11 ABauV werde die Gebäude- länge im Grundriss ermittelt: Massgebend sei die Länge an der Seite des kleinsten Rechtecks, welches das Gebäude umfasse (unter Weglassung von Anbauten und vorspringenden Gebäudeteilen). Die vertikale Gliederung von Gebäuden werde nicht berücksichtigt. Eine 2016 Bau-, Raumentwicklungs- und Umweltschutzrecht 171 Privilegierung für terrassierte Bauten kenne das kantonale Recht nur bezüglich Gebäudehöhe, Firsthöhe und Geschosszahl in dem Sinne, dass diese für jeden Gebäudeteil einzeln gemessen würden (§ 12 Abs. 3 ABauV), nicht aber bezüglich Gebäudelänge (VGE III/74 vom 27. September 2006 [WBE.2005.29], S. 9). Was den vorliegen- den Fall anbelangt, weisen die Häuser von der Südostfassade bis zur Nordwestfassade eine Länge von rund 26 m auf, womit die maximal zulässigen 25 m überschritten werden. Es kann offen bleiben, ob darüber hinaus auch noch das Dach der Einstellhalle, welches den Erdgeschosswohnungen als Terrasse dient, der Gebäudelänge ange- rechnet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