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2015 50 vom 1. Februar 2015</w:t>
      </w:r>
    </w:p>
    <w:p>
      <w:r>
        <w:t>AG Gerichte, 2015-02-01, DE</w:t>
      </w:r>
    </w:p>
    <w:p>
      <w:r>
        <w:rPr>
          <w:b/>
        </w:rPr>
        <w:t xml:space="preserve">Quelle: </w:t>
      </w:r>
      <w:r>
        <w:t>https://mcp.opencaselaw.ch/entscheid/ag_gerichte_AGVE_2015_50</w:t>
      </w:r>
    </w:p>
    <w:p>
      <w:r>
        <w:t>FR: AG_GERICHTE AGVE 2015 50 du 1 février 2015</w:t>
      </w:r>
    </w:p>
    <w:p>
      <w:r>
        <w:t>IT: AG_GERICHTE AGVE 2015 50 del 1 febbraio 2015</w:t>
      </w:r>
    </w:p>
    <w:p>
      <w:pPr>
        <w:pStyle w:val="Heading2"/>
      </w:pPr>
      <w:r>
        <w:t>Regeste</w:t>
      </w:r>
    </w:p>
    <w:p>
      <w:r>
        <w:t>B. Sachenrecht50 Art. 741 ZGBDient die Vorrichtung zur Ausübung einer Dienstbarkeit sowohl demDienstbarkeitsberechtigten als auch dem Dienstbarkeitsbelasteten, ist derDienstbarkeitsberechtigte zur Vornahme der gesamten Unterhalts- undErneuerungsarbeiten zu verpflichten unter gleichzeitiger Einräumung...</w:t>
      </w:r>
    </w:p>
    <w:p>
      <w:pPr>
        <w:pStyle w:val="Heading2"/>
      </w:pPr>
      <w:r>
        <w:t>Erwägungen</w:t>
      </w:r>
    </w:p>
    <w:p>
      <w:r>
        <w:rPr>
          <w:b/>
        </w:rPr>
        <w:t>E. 2</w:t>
      </w:r>
    </w:p>
    <w:p>
      <w:r>
        <w:t>Aufl., Zürich/Basel/Genf 2012, N. 3 zu Art. 741 ZGB; Liver, Zürcher Kommentar, 2. Aufl., Zürich 1980, N. 14 zu Art. 741 ZGB). Die Verpflichtung besteht zu Gunsten des Eigentümers des belasteten Grundstücks (Liver, a.a.O., N. 23 zu Art. 741 ZGB). Die Folgen der Nicht- oder Schlechterfüllung der Pflicht richten sich nach Art. 97 ff. OR; insbesondere kann sich der Gläubiger zur Ersatzvornahme er- mächtigen lassen (Göksu, a.a.O., N. 3 zu Art. 741 ZGB; Liver, a.a.O., N. 40 zu Art. 741 ZGB; Petitpierre, Basler Kommentar,</w:t>
      </w:r>
    </w:p>
    <w:p>
      <w:r>
        <w:rPr>
          <w:b/>
        </w:rPr>
        <w:t>E. 4</w:t>
      </w:r>
    </w:p>
    <w:p>
      <w:r>
        <w:t>Aufl., Basel 2011, N. 17 zu Art. 741 ZGB). Nach herrschender Lehre setzt die richterliche Ermächtigung zur Ersatzvornahme ein vorgängig oder gleichzeitig erstrittenes Leistungsurteil gegen den Schuldner voraus (Wiegand, Basler Kommentar, 5. Aufl., Basel 2011, N. 6 zu Art. 98 OR; Furrer/Wey, Handkommentar zum Schwei- zer Privatrecht, a.a.O., N. 160 und 163 zu Art. 97 - 98 OR). Die Beklagte verlangt denn auch beides. Weil der Kläger den Betrieb, Unterhalt und die Erneuerung (bloss) zur Hälfte zu tragen hat, kann der Antrag, er sei zu verpflich- ten, die Strasse auf Parzelle 889 auf eigene Kosten zu erneuern, so nicht gutgeheissen werden. Vielmehr trifft beide Parteien die Unter- haltspflicht in gleichem Ausmass. Beide Parteien haben gegenseitig einen Anspruch auf Leistung der Hälfte der notwendigen Unterhalts- und Erneuerungsarbeiten (vgl. Petitpierre, a.a.O., N. 7 zu Art. 741 ZGB). Entsprechend der Regelung von Art. 70 Abs. 2 OR (vgl. Art. 7 ZGB), wonach jeder Schuldner zu der ganzen Leistung verpflichtet ist, wenn eine unteilbare Leistung von mehreren Schuldnern zu ent- richten ist, ist auch vorliegend der Kläger zur Vornahme der Unter- halts- und Erneuerungsarbeiten zu verpflichten. Gemäss Art. 70 Abs. 3 OR in Verbindung mit der vorliegend anwendbaren Regelung über die Tragung des Unterhalts hat er aber für die Hälfte des Aufwandes einen Ersatzanspruch gegenüber der Beklagten, was im Urteil festzu- halten ist. Zudem ist die Pflicht zur Beteiligung an den Kosten einer 2015 Zivilrecht 301 Vornahme der Erneuerungsarbeiten im Sinne von Art. 98 Abs. 1 OR auf die Hälfte dieser Kosten zu beschränken.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