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AGVE 2015 1 vom 1. August 2015</w:t>
      </w:r>
    </w:p>
    <w:p>
      <w:r>
        <w:t>AG Gerichte, 2015-08-01, DE</w:t>
      </w:r>
    </w:p>
    <w:p>
      <w:r>
        <w:rPr>
          <w:b/>
        </w:rPr>
        <w:t xml:space="preserve">Quelle: </w:t>
      </w:r>
      <w:r>
        <w:t>https://mcp.opencaselaw.ch/entscheid/ag_gerichte_AGVE_2015_1</w:t>
      </w:r>
    </w:p>
    <w:p>
      <w:r>
        <w:t>FR: AG_GERICHTE AGVE 2015 1 du 1 août 2015</w:t>
      </w:r>
    </w:p>
    <w:p>
      <w:r>
        <w:t>IT: AG_GERICHTE AGVE 2015 1 del 1 agosto 2015</w:t>
      </w:r>
    </w:p>
    <w:p>
      <w:pPr>
        <w:pStyle w:val="Heading2"/>
      </w:pPr>
      <w:r>
        <w:t>Regeste</w:t>
      </w:r>
    </w:p>
    <w:p>
      <w:r>
        <w:t>I. Strafprozessrecht1 Art. 141 Abs. 4 StPOEine Fernwirkung gemäss Art. 141 Abs. 4 StPO ist zu verneinen, wennder Folgebeweis im Sinne eines hypothetischen Ermittlungsverlaufs zumindest mit einer grossen Wahrscheinlichkeit auch ohne den illegalenersten Beweis erlangt worden wäre.2 Art. 122 StPOVertragliche...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Art. 122 StPO Vertragliche Ansprüche fallen nicht unter Art. 122 StPO. Aus dem Entscheid des Obergerichts, 1. Strafkammer, vom 12. November 2015, i.S. Staatsanwaltschaft Muri-Bremgarten gegen M.J. (SST.2015.156). Aus den Erwägungen 5.2 5.2.1.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