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88 vom 5. Juni 2013</w:t>
      </w:r>
    </w:p>
    <w:p>
      <w:r>
        <w:t>AG Gerichte, 2013-06-05, DE</w:t>
      </w:r>
    </w:p>
    <w:p>
      <w:r>
        <w:rPr>
          <w:b/>
        </w:rPr>
        <w:t xml:space="preserve">Quelle: </w:t>
      </w:r>
      <w:r>
        <w:t>https://mcp.opencaselaw.ch/entscheid/ag_gerichte_AGVE_2013_88</w:t>
      </w:r>
    </w:p>
    <w:p>
      <w:r>
        <w:t>FR: AG_GERICHTE AGVE 2013 88 du 5 juin 2013</w:t>
      </w:r>
    </w:p>
    <w:p>
      <w:r>
        <w:t>IT: AG_GERICHTE AGVE 2013 88 del 5 giugno 2013</w:t>
      </w:r>
    </w:p>
    <w:p>
      <w:pPr>
        <w:pStyle w:val="Heading2"/>
      </w:pPr>
      <w:r>
        <w:t>Regeste</w:t>
      </w:r>
    </w:p>
    <w:p>
      <w:r>
        <w:t>II. Abteilung Kausalabgaben und EnteignungenA. Enteignungsrecht88 Formelle Enteignung (Bestätigung der Rechtsprechung)Keine Entschädigung für Privatstrassenland.</w:t>
      </w:r>
    </w:p>
    <w:p>
      <w:pPr>
        <w:pStyle w:val="Heading2"/>
      </w:pPr>
      <w:r>
        <w:t>Volltext</w:t>
      </w:r>
    </w:p>
    <w:p>
      <w:r>
        <w:t>Aargau Spezialverwaltungsgericht 05.06.2013 AGVE 2013 88 Argovie Spezialverwaltungsgericht 05.06.2013 AGVE 2013 88 Argovia Spezialverwaltungsgericht 05.06.2013 AGVE 2013 88</w:t>
      </w:r>
    </w:p>
    <w:p>
      <w:r>
        <w:t>II. Abteilung Kausalabgaben und EnteignungenA. Enteignungsrecht88 Formelle Enteignung (Bestätigung der Rechtsprechung)Keine Entschädigung für Privatstrassenland.</w:t>
      </w:r>
    </w:p>
    <w:p>
      <w:r>
        <w:t>AGVE - Archiv 2013 Abteilung Kausalabgaben und Enteignungen 439 II. Abteilung Kausalabgaben und Enteignungen A. Enteignungsrecht 88 Formelle Enteignung (Bestätigung der Rechtsprechung) Keine Entschädigung für Privatstrassenland. Aus dem Entscheid des Spezialverwaltungsgerichts, Abteilung Kausalabga- ben und Enteignungen, vom 5. Juni 2013 in Sachen B.AG gegen I.K. (4-EV.2010.14). Aus den Erwägungen 4.1.1. Eine Strassenparzelle besitzt als zweckgebundene Anlage grundsätzlich keinen Verkehrswert. Einen selbständigen Wert weist sie nur auf, wenn sie vermögenswerte Nutzungsmöglichkeiten bietet (Bundesgerichtsentscheide 1P.318/2001 vom 17. August 2001 Erw. 2b/cc und 2c/cc, 1P.851/2005 vom 3. März 2005 Erw. 3.3.; AGVE 1993 S. 503 mit Hinweisen). Darunter fällt z.B. der Einbezug in die Berechnung der zulässigen baulichen Nutzung zugehöriger Grundstücke (Heinz Hess/Heinrich Weibel, Das Enteignungsrecht des Bundes, Bern 1986, Band I, Art. 19 N 123, S. 281). Eine Privat- strasse im Miteigentum der Anstösser, die zudem mit Wegrechten belastet ist, kann der Strassennutzung nicht entzogen werden. Die Eigentümer selber wie auch berechtigte Dritte sind auf die Erschlies- sung angewiesen. Erst diese macht aus ihrem Land nutzbares Bau- land (§ 32 Abs. 1 lit. b BauG). Bei der Überführung der Privatstrasse in das öffentliche Eigentum bleibt ihnen das unlimitierte Benut- zungsrecht. Etwas anderes könnte allenfalls gelten, wenn mit der Öffentlicherklärung der Strasse bestimmte Nutzungsmöglichkeiten verloren gingen (vgl. den Entscheid des Verwaltungsgerichts des Kantons Zürich, VB 2000.00236, auszugsweise wiedergegeben in URP 2001 S. 983 ff.; BGE 95 I 456). Im Regelfall behält der Eigen- 2013 Spezialverwaltungsgericht 440 tümer bei der Überführung des Privatwegs in das öffentliche Ei- gentum alle mit dem Weg verbundenen Vorteile und wird von ge- wissen Nachteilen (z.B. Unterhalt) entlastet (erwähnter Bundesge- richtsentscheid 1P.851/2005 Erw. 3.3 mit Hinweis). Grundsätzlich gilt, dass überbaubares Land und nicht überbaubares Strassenareal, das auch sonst nicht verwendbar ist, nicht miteinander verglichen werden können (BGE 95 I 459) (vgl. zum Ganzen den Entscheid der Schätzungskommission 4-EV.2007.23 vom 15. Januar 2008 in Sa- chen Einwohnergemeinde L. gegen E.I. et al., Erw. 5.2.). 4.1.2. Nach dieser Rechtsprechung kann eine Gemeinde eine Er- schliessungsstrasse enteignungsrechtlich entschädigungslos überneh- men, sofern deren Fläche bei der Berechnung der zulässigen bauli- chen Nutzung des zugehörigen Grundstücks nicht einzurechnen ist (vermögenswerte Nutzungsmöglichkeit). Gemäss § 32 Abs. 4 der aktuellen BauV (...) zählen nur Haus- zufahrten zur anrechenbaren Grundstückfläche. "Nicht angerechnet werden die Flächen bestehender oder projektierter Strassen der Grund-, Grob- und Feinerschliessung".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