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6 vom 30. Juli 2009</w:t>
      </w:r>
    </w:p>
    <w:p>
      <w:r>
        <w:t>AG Gerichte, 2009-07-30, DE</w:t>
      </w:r>
    </w:p>
    <w:p>
      <w:r>
        <w:rPr>
          <w:b/>
        </w:rPr>
        <w:t xml:space="preserve">Quelle: </w:t>
      </w:r>
      <w:r>
        <w:t>https://mcp.opencaselaw.ch/entscheid/ag_gerichte_AGVE_2013_6</w:t>
      </w:r>
    </w:p>
    <w:p>
      <w:r>
        <w:t>FR: AG_GERICHTE AGVE 2013 6 du 30 juillet 2009</w:t>
      </w:r>
    </w:p>
    <w:p>
      <w:r>
        <w:t>IT: AG_GERICHTE AGVE 2013 6 del 30 luglio 2009</w:t>
      </w:r>
    </w:p>
    <w:p>
      <w:pPr>
        <w:pStyle w:val="Heading2"/>
      </w:pPr>
      <w:r>
        <w:t>Regeste</w:t>
      </w:r>
    </w:p>
    <w:p>
      <w:r>
        <w:t>6 Art. 21 Abs. 5 ATSGDie IV-Rente wird trotz Massnahme in einer geschlossenen Einrichtungnicht sistiert, wenn die Möglichkeit der Ausübung einer Erwerbstätigkeit(Lehre) tatsächlich gegeben ist.</w:t>
      </w:r>
    </w:p>
    <w:p>
      <w:pPr>
        <w:pStyle w:val="Heading2"/>
      </w:pPr>
      <w:r>
        <w:t>Erwägungen</w:t>
      </w:r>
    </w:p>
    <w:p>
      <w:r>
        <w:rPr>
          <w:b/>
        </w:rPr>
        <w:t>E. 6</w:t>
      </w:r>
    </w:p>
    <w:p>
      <w:r>
        <w:t>Gemäss den vorstehenden Ausführungen liess - zusammenge- fasst - die beim Beschwerdeführer angeordnete stationäre Mass- nahme nach Art. 59 StGB grundsätzlich eine Erwerbstätigkeit zu. Der Beschwerdeführer war denn auch tatsächlich in der Lage, die Maurerlehre während der Dauer von über einem Jahr im ersten Ar- beitsmarkt fortzusetzen. Wie gesehen, ist sodann mit überwiegender Wahrscheinlichkeit davon auszugehen, dass der Abbruch der Lehre im Oktober 2011 aus gesundheitlichen Gründen erfolgte. Als Folge davon ist in Nachachtung der dargelegten Rechtsprechung von einer Sistierung der Invalidenrente abzusehen und die Beschwerde gutzu- 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