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54 vom 8. April 2002</w:t>
      </w:r>
    </w:p>
    <w:p>
      <w:r>
        <w:t>AG Gerichte, 2002-04-08, DE</w:t>
      </w:r>
    </w:p>
    <w:p>
      <w:r>
        <w:rPr>
          <w:b/>
        </w:rPr>
        <w:t xml:space="preserve">Quelle: </w:t>
      </w:r>
      <w:r>
        <w:t>https://mcp.opencaselaw.ch/entscheid/ag_gerichte_AGVE_2011_54</w:t>
      </w:r>
    </w:p>
    <w:p>
      <w:r>
        <w:t>FR: AG_GERICHTE AGVE 2011 54 du 8 avril 2002</w:t>
      </w:r>
    </w:p>
    <w:p>
      <w:r>
        <w:t>IT: AG_GERICHTE AGVE 2011 54 del 8 aprile 2002</w:t>
      </w:r>
    </w:p>
    <w:p>
      <w:pPr>
        <w:pStyle w:val="Heading2"/>
      </w:pPr>
      <w:r>
        <w:t>Regeste</w:t>
      </w:r>
    </w:p>
    <w:p>
      <w:r>
        <w:t>X. Wahlen und Abstimmungen54 Politische Rechteve) müssen schreibfähige Stimmberechtigte sowohl den Namenseintrag als auch die Unterschrift eigenhändig vornehmen (Erw. 4.5).qualifizierten Formvorschriften. Auch hinsichtlich der HilfsangabenEigenhändigkeit zu verlangen, läuft auf überspitzten Formalismushinaus...</w:t>
      </w:r>
    </w:p>
    <w:p>
      <w:pPr>
        <w:pStyle w:val="Heading2"/>
      </w:pPr>
      <w:r>
        <w:t>Volltext</w:t>
      </w:r>
    </w:p>
    <w:p>
      <w:r>
        <w:t>Aargau Obergericht Verwaltungsgericht 08.04.2002 AGVE 2011 54</w:t>
      </w:r>
    </w:p>
    <w:p>
      <w:r>
        <w:t>X. Wahlen und Abstimmungen54 Politische Rechteve) müssen schreibfähige Stimmberechtigte sowohl den Namenseintrag als auch die Unterschrift eigenhändig vornehmen (Erw. 4.5).qualifizierten Formvorschriften. Auch hinsichtlich der HilfsangabenEigenhändigkeit zu verlangen, läuft auf überspitzten Formalismushinaus...</w:t>
      </w:r>
    </w:p>
    <w:p>
      <w:r>
        <w:t>AGVE - Lawsearch Cache - AGVE 2011 2 S. 225 2011 Wahlen und Abstimmungen 225 X. Wahlen und Abstimmungen 54 Politische Rechte - Bei der Unterzeichnung eines Volksbegehrens (Referendum/Initiati- ve) müssen schreibfähige Stimmberechtigte sowohl den Namensein- trag als auch die Unterschrift eigenhändig vornehmen (Erw. 4.5). - Für Hilfsangaben (Vornamen, Geburtstag und Adresse) gelten keine qualifizierten Formvorschriften. Auch hinsichtlich der Hilfsangaben Eigenhändigkeit zu verlangen, läuft auf überspitzten Formalismus hinaus (Erw. 4.6). - Das Merkblatt der Staatskanzlei vom 8. April 2002, welches vollum- fängliche Eigenhändigkeit verlangt, kann künftig insoweit nicht mehr zur Anwendung gelangen (Erw. 6.1). Urteil des Verwaltungsgerichts, 2. Kammer, vom 2. März 2011 in Sachen F. und Konsorten (WBE.2010.347). Aus den Erwägungen 4.4. Materiell umstritten ist die Auslegung von § 43 GPR. Im Sinne einer Harmonisierung mit den Bundesvorschriften (Art. 61 des Bun- desgesetzes über die politischen Rechte vom 17. Dezember 1976 [BPR; SR 161.1]) nahm der kantonale Gesetzgeber im Rahmen der Teilrevision des GPR, die per 1. Juli 2000 in Kraft getreten ist, eine Anpassung des Wortlauts des § 43 GPR vor. Zur Vorbeugung von Fälschungen hatte der Bundesgesetzgeber zuvor Art. 61 BPR revi- diert und neu vorgeschrieben, dass auf den Initiativ- und Referen- dumsbögen zusätzlich zum handschriftlichen Namen die eigenhändi- ge Unterschrift beigefügt werden muss. Diese Vorgaben übernahm der kantonale Gesetzgeber für das kantonale Recht vollumfänglich, da die Bundesvorschriften nur für die eidgenössischen Volksinitiati- 2011 Verwaltungsgericht 226 ven und Referenden direkt gegolten hätten (vgl. Botschaft des Regie- rungsrats des Kantons Aargau an den Grossen Rat vom 25. März 1999, 99.105, S. 7). § 43 GPR stimmt damit im Wortlaut materiell mit Art. 61 BPR überein: § 43 GPR: 1 Die Stimmberechtigten müssen ihren Namen handschriftlich und leserlich auf die Unterschriftenliste setzen sowie zusätzlich ihre eigenhändige Unter- schrift beifügen. Schreibunfähige können die Eintragung ihres Namens durch eine stimmberechtigte Person ihrer Wahl vornehmen lassen. 2 Sie müssen alle weiteren Angaben machen, die zur Feststellung ihrer Iden- tität nötig sind, wie Vornamen, Jahrgang, Adresse. 3 Sie dürfen das gleiche Referendumsbegehren nur einmal unterschreiben. 4.5. Auszugehen ist bei der Auslegung von diesem Gesetzeswort- laut. Aus § 43 Abs. 1 GPR ergibt sich, dass jede stimmberechtigte Person ihren eigenen Namen selbst und von Hand und daneben ihre Unterschrift eigenhändig eintragen muss (mit Ausnahme der schreib- unfähigen Personen). Wie die Bundeskanzlei zutreffend ausführt, zeigt gerade die präzise Regelung dieser Ausnahme, wie ernst es dem Gesetzgeber damit war, die Unterzeichnung auch eidgenössischer Volksbegehren als höchstpersönliches Recht auszugestalten. Aus diesem Grund kann die eigenhändige Unterschrift allein nicht genü- gen; es widerspräche klarem Willen des Gesetzgebers, Fremdeinträge des Namenszugs zu tolerieren. So verzichtete der Bundesgesetzgeber anlässlich der Einführung des Erfordernisses eigenhändiger Unter- schrift nicht auf den eigenhändigen Eintrag des Namens, sondern verlangte ausdrücklich kumulativ ("zusätzlich") Eigenhändigkeit für Namenseintrag und Unterschrift. In dieser Formstrenge kann kein überspitzter Formalismus gesehen werden. (...) 4.6. 4.6.1. Entgegen den Ausführungen des Regierungsrats ergibt sich in- des die von ihm verlangte Eigenhändigkeit sämtlicher Angaben we- der aus dem Gesetz noch lässt sich dies aus den Vorgaben des Bun- des zur einheitlichen Handhabung ableiten. § 43 Abs. 2 GPR verlangt 2011 Wahlen und Abstimmungen 227 vielmehr einzig, dass die Stimmberechtigten die nötigen Angaben zur Feststellung der Identität machen müssen, wobei im Gegensatz zur Formulierung in § 43 Abs. 1 GPR das Erfordernis der Eigenhän- digkeit bzw. der Handschriftlichkeit nicht genannt wird. Die weiteren Angaben gemäss § 43 Abs. 2 GPR sind denn auch als blosse Hilfs- angaben zu verstehen. Vornamen, Geburtsdatum und Adresse sind, soweit zur Identifikation nötig, anzugeben. Soweit eine Person ohne erheblichen Aufwand identifizierbar ist (dies dürfte insbesondere in kleineren Gemeinden eher der Fall sein), könnten sogar ihr Name und ihre Unterschrift für die Rechtsgültigkeit genügen. Daher darf ihre Angabe von vornherein nicht an qualifizierte Formvorschriften gebunden werden. Dies entspricht der gewachsenen und gefestigten Praxis der Bundeskanzlei bei Volksbegehren auf Bundesebene. Hilfsangaben (Vornamen, Geburtstag und Adresse) werden folglich seitens der Bundeskanzlei in konstanter Praxis auch dann anerkannt, wenn sie z.B. mit Schreibmaschine oder von fremder Hand eingesetzt oder durch Gänsefüsschen, dito oder dergleichen er- teilt worden sind. Unterschriften mit der Begründung zu streichen, vom Gesetzgeber klar als Hilfsangabe charakterisierte Hinweise seien nicht eigenhändig erteilt worden, läuft auf überspitzten For- malismus hinaus und schützt die Ausübung der politischen Rechte nicht mehr, sondern dient im Gegenteil der Verhinderung ihrer wirk- samen Wahrnehmung. Ein überspitzter Formalismus ist gerade auch im Bereich der Volksrechte absolut zu vermeiden (...). 4.6.2.-4.6.4. (...) 5. (...) 6. 6.1. Der Vollständigkeit halber ist auf das kantonale Merkblatt der Staatskanzlei (Merkblatt der Staatskanzlei vom 8. April 2002), worauf sich der Regierungsrat beruft und das zur Sicherstellung der einheitlichen Rechtsanwendung im Kanton sämtlichen Gemeinden und den Sekretariaten der Kantonalparteien zugestellt worden ist, einzugehen. Darin wird wörtlich ausgeführt: 2011 Verwaltungsgericht 228 "... 2. Die Anforderung der Handschriftlichkeit bedeutet, auch wenn dies nicht expli- zit ausgeführt wird, das eigenhändige Niederschreiben dieser Angaben. Wird lediglich die Unterschrift des/der Stimmberechtigten eigenhändig gesetzt, werden also die übrigen zwingenden Angaben erkennbar von fremder Hand niedergeschrieben, so muss die Stimmrechtsbescheinigung von der Einwoh- nerkontrolle der zuständigen Gemeinde verweigert werden. 3. Das Erfordernis der umfassenden Eigenhändigkeit dient dazu, Unregelmä- ssigkeiten bei der Sammlung von Unterschriften vorzubeugen." 6.2 Beim Merkblatt handelt es sich um eine sogenannte Verwal- tungsverordnung, die in erster Linie Regeln für das verwaltungs- interne Verhalten enthält. Verwaltungsverordnungen umschreiben grundsätzlich keine Rechte und Pflichten der Bürger. Konkret han- delt es sich beim Merkblatt (wie auch beim Kreisschreiben der Bundeskanzlei) um eine verhaltenslenkende Verwaltungsverordnung, mit der zum Zweck einer einheitlichen und rechtsgleichen Rechtsan- wendung auf die Ermessensausübung und die Handhabung offen for- mulierter Vorschriften abgezielt wird. Verwaltungsverordnungen können so genannte Aussenwirkungen entfalten und somit zumindest indirekt in die Rechtsstellung der Bürger zurückwirken (ausführlich zu Verwaltungverordnungen: BGE 128 I 167, Erw. 4.3, m.w.H.). Dass die Anwendung des Merkblatts hier derartige Aussenwirkungen zeitigte, bedarf keiner weiteren Erläuterungen. Verwaltungsverord- nungen bedürfen keiner förmlichen gesetzlichen Ermächtigung, können aber, da sie von der Verwaltungsbehörde und nicht vom ver- fassungsmässigen Gesetzgeber stammen, keine von der gesetzlichen Ordnung abweichende Bestimmung vorsehen (BGE 120 Ia 343, Erw. 2a, m.w.H.). Sie sind für die rechtsanwendenden Behörden ins- besondere auch für das Verwaltungsgericht nicht verbindlich, werden aber mitberücksichtigt, soweit sie eine dem Einzelfall angepasste sachgerechte Auslegung der anwendbaren gesetzlichen Bestimmun- gen zulassen (AGVE 2006, S. 232, BGE 121 II 473, Erw. 2b mit Hinweisen). Die in der Verwaltungsverordnung vorgenommene Aus- legung des Gesetzes unterliegt somit der richterlichen Nachprüfung. 2011 Wahlen und Abstimmungen 229 6.3. Im Merkblatt wird mit der verlangten vollumfänglichen Eigen- händigkeit - wie dargelegt - ein zusätzliches, vom Gesetzeswortlaut nicht gedecktes Erfordernis aufgestellt, das sich zudem als überspitzt formalistisch erweist und der gefestigten Praxis der Bundeskanzlei widerspricht. In Anbetracht dessen, dass in einem derartigen Merk- blatt gerade keine von der gesetzlichen Ordnung abweichende Be- stimmung vorgesehen werden darf und auch aufgrund der (wie der Regierungsrat zutreffend darlegt) wünschenswerten einheitlichen Praxis auf Bundes-, Kantons- und kommunaler Ebene, kann das kantonale Merkblatt künftig insoweit somit nicht mehr zur Anwen- dung gelangen. (Hinweis: Das Bundesgericht hat eine Beschwerde gegen diesen Entscheid mit Urteil vom 15. Juli 2011 [1C_169/2011]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