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8 vom 1. August 2010</w:t>
      </w:r>
    </w:p>
    <w:p>
      <w:r>
        <w:t>AG Gerichte, 2010-08-01, DE</w:t>
      </w:r>
    </w:p>
    <w:p>
      <w:r>
        <w:rPr>
          <w:b/>
        </w:rPr>
        <w:t xml:space="preserve">Quelle: </w:t>
      </w:r>
      <w:r>
        <w:t>https://mcp.opencaselaw.ch/entscheid/ag_gerichte_AGVE_2010_8</w:t>
      </w:r>
    </w:p>
    <w:p>
      <w:r>
        <w:t>FR: AG_GERICHTE AGVE 2010 8 du 1 août 2010</w:t>
      </w:r>
    </w:p>
    <w:p>
      <w:r>
        <w:t>IT: AG_GERICHTE AGVE 2010 8 del 1 agosto 2010</w:t>
      </w:r>
    </w:p>
    <w:p>
      <w:pPr>
        <w:pStyle w:val="Heading2"/>
      </w:pPr>
      <w:r>
        <w:t>Regeste</w:t>
      </w:r>
    </w:p>
    <w:p>
      <w:r>
        <w:t>8 Art. 33 StGB.Eine strafrechtlich relevante Drohung oder Täuschung, durch die derRückzug des Strafantrags bewirkt wurde, hindert die Wirksamkeit derErklärung des Rückzugs. Die nach der bundesgerichtlichen Rechtsprechung fehlende (analoge) Anwendbarkeit von Art. 23 ff. OR kann nichtzur Folge haben, dass...</w:t>
      </w:r>
    </w:p>
    <w:p>
      <w:pPr>
        <w:pStyle w:val="Heading2"/>
      </w:pPr>
      <w:r>
        <w:t>Volltext</w:t>
      </w:r>
    </w:p>
    <w:p>
      <w:r>
        <w:t>Aargau Obergericht/Handelsgericht 01.08.2010 AGVE 2010 8 Argovie Obergericht/Handelsgericht 01.08.2010 AGVE 2010 8 Argovia Obergericht/Handelsgericht 01.08.2010 AGVE 2010 8</w:t>
      </w:r>
    </w:p>
    <w:p>
      <w:r>
        <w:t>8 Art. 33 StGB.Eine strafrechtlich relevante Drohung oder Täuschung, durch die derRückzug des Strafantrags bewirkt wurde, hindert die Wirksamkeit derErklärung des Rückzugs. Die nach der bundesgerichtlichen Rechtsprechung fehlende (analoge) Anwendbarkeit von Art. 23 ff. OR kann nichtzur Folge haben, dass...</w:t>
      </w:r>
    </w:p>
    <w:p>
      <w:r>
        <w:t>AGVE - Archiv 2010 Obergericht 46 [...] 8 Art. 33 StGB. Eine strafrechtlich relevante Drohung oder Täuschung, durch die der Rückzug des Strafantrags bewirkt wurde, hindert die Wirksamkeit der Erklärung des Rückzugs. Die nach der bundesgerichtlichen Rechtspre- chung fehlende (analoge) Anwendbarkeit von Art. 23 ff. OR kann nicht zur Folge haben, dass das StGB ein Verhalten belohnt, dass es selbst an- derweitig pönalisiert. Aus dem Entscheid des Obergerichts, 1. Strafkammer, vom 19. August 2010, i.S. M.A. gegen Staatsanwaltschaft des Kantons Aargau (SST.2010.82)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