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41 vom 23. März 2009</w:t>
      </w:r>
    </w:p>
    <w:p>
      <w:r>
        <w:t>AG Gerichte, 2009-03-23, DE</w:t>
      </w:r>
    </w:p>
    <w:p>
      <w:r>
        <w:rPr>
          <w:b/>
        </w:rPr>
        <w:t xml:space="preserve">Quelle: </w:t>
      </w:r>
      <w:r>
        <w:t>https://mcp.opencaselaw.ch/entscheid/ag_gerichte_AGVE_2010_41</w:t>
      </w:r>
    </w:p>
    <w:p>
      <w:r>
        <w:t>FR: AG_GERICHTE AGVE 2010 41 du 23 mars 2009</w:t>
      </w:r>
    </w:p>
    <w:p>
      <w:r>
        <w:t>IT: AG_GERICHTE AGVE 2010 41 del 23 marzo 2009</w:t>
      </w:r>
    </w:p>
    <w:p>
      <w:pPr>
        <w:pStyle w:val="Heading2"/>
      </w:pPr>
      <w:r>
        <w:t>Regeste</w:t>
      </w:r>
    </w:p>
    <w:p>
      <w:r>
        <w:t>IX. Schulrecht41 Übertritt von der Real- in die Sekundarschule.trittsempfehlung nachgewiesen werden.der Übertritt im Beschwerdeverfahren vorsorglich gestattet wurde.</w:t>
      </w:r>
    </w:p>
    <w:p>
      <w:pPr>
        <w:pStyle w:val="Heading2"/>
      </w:pPr>
      <w:r>
        <w:t>Erwägungen</w:t>
      </w:r>
    </w:p>
    <w:p>
      <w:r>
        <w:rPr>
          <w:b/>
        </w:rPr>
        <w:t>E. 1</w:t>
      </w:r>
    </w:p>
    <w:p>
      <w:r>
        <w:t>2. (...)</w:t>
      </w:r>
    </w:p>
    <w:p>
      <w:r>
        <w:rPr>
          <w:b/>
        </w:rPr>
        <w:t>E. 3.1</w:t>
      </w:r>
    </w:p>
    <w:p>
      <w:r>
        <w:t>(...) 2010 Verwaltungsgericht 222</w:t>
      </w:r>
    </w:p>
    <w:p>
      <w:r>
        <w:rPr>
          <w:b/>
        </w:rPr>
        <w:t>E. 3.2.1</w:t>
      </w:r>
    </w:p>
    <w:p>
      <w:r>
        <w:t>Nach Auffassung der Vorinstanz dürfen die während der Dauer eines Beschwerdeverfahrens nach einem vorsorglich gestatteten Übertritt in die beantragte höhere Schulstufe erbrachten Leistungen in der Regel keine Berücksichtigung finden. Bei Promotionsent- scheiden könne es grundsätzlich nur auf die im Aufnahmeverfahren erbrachten Leistungen - d.h. die Leistungen im Zeitpunkt des ur- sprünglichen Entscheids - ankommen, da andernfalls die Durchset- zung der Promotionsbestimmungen in Frage gestellt würden. Der Grundsatz der Nichtberücksichtigung nachträglicher Leis- tungen kann indessen nicht ausnahmslos gelten. So hat die publi- zierte Praxis des Regierungsrats Ausnahmen von diesem Grundsatz anerkannt und die Leistungen in der höheren Schulstufe mitberück- sichtigt (vgl. AGVE 1990, S. 494 f.). Auch eine abweichende Beur- teilung der Lehrpersonen der höheren Schulstufe wurde als Aus- nahmetatbestand anerkannt (AGVE 2005, S. 595 f. mit Hinweisen auf unpublizierte Entscheide).</w:t>
      </w:r>
    </w:p>
    <w:p>
      <w:r>
        <w:rPr>
          <w:b/>
        </w:rPr>
        <w:t>E. 3.2.2</w:t>
      </w:r>
    </w:p>
    <w:p>
      <w:r>
        <w:t>Unbestritten ist, dass P.B. die für eine Empfehlung vorausge- setzte Sachkompetenz, d.h. den erforderlichen Notendurchschnitt, er- reichte. Der Umstand, dass einem Mitschüler mit einem höheren Notendurchschnitt eine Empfehlung versagt blieb, bestätigt lediglich die Praxis, dass die Empfehlung massgeblich von der Beurteilung der andern Kompetenzen abhängig ist, kann aber für die Beurteilung im vorliegenden Fall nicht massgebend sein. Selbst- und Sozialkompe- tenz sind in höchstem Masse individuelle Faktoren, welche, wie die Prognose hinsichtlich des Verbleibs in der höheren Schulstufe, nur für den jeweils betroffenen Schüler erstellt werden können. Sowenig wie der Notendurchschnitt allein die Empfehlung begründen kann, sowenig vermag die Beurteilung eines andern Schülers mit höherem Leistungsausweis die Empfehlung im vorliegenden Fall zum vorn- herein ausschliessen. Die Beurteilung der Selbst- und Sozialkompetenz wurde durch die Lehrpersonen, welche P.B. in der Realschule unterrichteten, ge- meinsam vorgenommen und sie war einstimmig. Auch für das Ver- 2010 Schulrecht 223 waltungsgericht sind keine Ermessensüberschreitung, Verfahrens- fehler oder gar Willkür in dieser Beurteilung zu erkennen. (...). Dies ändert aber nichts an der naturgemässen Subjektivität einer Beurtei- lung von persönlichkeitsrelevanten Aspekten und am Umstand, dass es sich bei dieser Beurteilung um Prognosen handelt.</w:t>
      </w:r>
    </w:p>
    <w:p>
      <w:r>
        <w:rPr>
          <w:b/>
        </w:rPr>
        <w:t>E. 3.2.3</w:t>
      </w:r>
    </w:p>
    <w:p>
      <w:r>
        <w:t>Ausgangspunkt für die Frage, ob und inwieweit die Schul- situation bei einem vorsorglich gestatteten Übertritt in die höhere Schulstufe zu berücksichtigen sind, bilden die Bestimmungen des Schulrechts. Gemäss § 3 Abs. 1 SchulG haben Kinder und Jugend- liche das Recht, diejenigen öffentlichen Schulen zu besuchen, die ih- ren Fähigkeiten entsprechen und deren Anforderungen sie erfüllen. Dieser Grundsatz wird in weiteren Bestimmungen verdeutlicht: Die Schüler besuchen den Schultyp, dessen Anforderungen sie erfüllen (§ 24 Teilsatz 1 SchulG); für den Übertritt in die höhere Stufe sind die Voraussetzungen von den Schulen und Schulbehörden zu schaf- fen (§ 24 Teilsatz 2 SchulG). Diese Bestimmungen konkretisieren den verfassungsrechtlichen Anspruch jedes Kindes auf eine ange- messene Bildung, die seinen Fähigkeiten entspricht (§ 28 Abs. 1 KV). Die Übertrittsprüfungsverordnung sieht für die Beurteilung der Fähigkeiten und der Möglichkeit der Schülerinnen und Schüler zum Nachweis der ausreichenden Fähigkeiten für die Anforderungen der Sekundarschule die Prüfung und die Empfehlung vor. Bei der Prü- fung finden Sozial- und Selbstkompetenz höchstens indirekt - über das Prüfungsergebnis und jedenfalls nur sehr eingeschränkt - Ein- gang in die Beurteilung. In jedem Fall erfolgt die Promotion proviso- risch und Schülerinnen und Schüler haben im 1. Halbjahr eine Pro- bezeit zu bestehen (§ 14 Abs. 1 i.V.m. § 16 der Promotionsordnung für die Volksschule vom 16. Juli 1990 [SAR 421.351]). Diese Regelung lässt zumindest erkennen, dass für die Prognose hinsichtlich des Verbleibs in einer höheren Schulstufe die Leistungen im Vordergrund stehen und das Genügen an die Anforderungen in der Probezeit nachzuweisen ist. Aus diesen Bestimmungen ergibt sich insbesondere nicht, dass die Fähigkeiten und Kompetenzen der Schülerinnen und Schüler nur mit Prüfung oder Empfehlung nach- 2010 Verwaltungsgericht 224 gewiesen werden können und einen Tatbeweis ausschliessen. Die Abklärung der Leistungen und des Verhaltens von P.B. in der Se- kundarschule kann daher bei einem vorsorglich erlaubten Übertritt nicht wegen einer kurzen zeitlichen Dauer unterbleiben. Gerade der Umstand, dass die "weichen" Beurteilungskriterien bei der Empfeh- lung den Ausschlag geben und prognostischen Charakter haben, erfordert in jenen Fällen, wo die Möglichkeit besteht, die Prognose zu überprüfen, dass die Beurteilung der Lehrpersonen der höheren Schulstufe eingeholt wird. Die Sachverhaltsermittlung von der zeitli- chen Dauer des Besuchs der höheren Schulstufe abhängig zu ma- chen, ist auch antizipierend mit dem Untersuchungsgrundsatz (§ 17 Abs. 1 VRPG) nicht vereinbar.</w:t>
      </w:r>
    </w:p>
    <w:p>
      <w:r>
        <w:rPr>
          <w:b/>
        </w:rPr>
        <w:t>E. 3.3.1</w:t>
      </w:r>
    </w:p>
    <w:p>
      <w:r>
        <w:t>(...)</w:t>
      </w:r>
    </w:p>
    <w:p>
      <w:r>
        <w:rPr>
          <w:b/>
        </w:rPr>
        <w:t>E. 3.3.2</w:t>
      </w:r>
    </w:p>
    <w:p>
      <w:r>
        <w:t>Der Klassenlehrer von P.B in der Sekundarschule hat in zwei Berichten auch das Sozialverhalten und die Selbstkompetenz zur Hauptsache mit "gut" beurteilt. (...) P.B. hat die Probezeit bestanden, weshalb er bei diesen Leistungen das Recht hat, die Sekundarschule abzuschliessen. Er erfüllt die Anforderungen der Sekundarschule und wurde definitiv befördert. Seine Fähigkeiten entsprechen den Voraus- setzungen dieser Grundausbildung (vgl. auch § 21 Abs. 2 Satz 1 der Verordnung über die Volksschule vom 29. April 1985; [V Volks- schule; SAR 421.311]). Entsprechend sind die Behörden verpflichtet, den Übertritt in diesen Oberstufentyp zu gewährleisten (vgl. auch § 21 Abs. 2 Satz 2 V Volksschule). Es ist nicht nur stossend, einen vorsorglich aufgenommenen Schüler, der sich durch besondere Anstrengungen einen Verbleib in dieser Klasse zu erarbeiten erhofft und dabei nicht nur genügende, sondern gute Leistungen erbringt, aus formellen Gründen des Rechtsmittelverfahrens zu relegieren (vgl. AGVE 2005, S. 594 f.). Nach Auffassung des Verwaltungsgerichts braucht es auch keine Ausnahmegründe (vgl. AGVE 1990, S. 495), um eine weit zuverläs- sigere Beurteilungsgrundlage als die Empfehlung der Lehrperson beizuziehen. Eine Mitberücksichtigung der in der Sekundarschule erbrachten Leistungen und des Verhaltens der betroffenen Schüler ist 2010 Schulrecht 225 aufgrund der Bestimmungen in § 3 und § 24 SchulG sogar geboten.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