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30 vom 3. August 2010</w:t>
      </w:r>
    </w:p>
    <w:p>
      <w:r>
        <w:t>AG Gerichte, 2010-08-03, DE</w:t>
      </w:r>
    </w:p>
    <w:p>
      <w:r>
        <w:rPr>
          <w:b/>
        </w:rPr>
        <w:t xml:space="preserve">Quelle: </w:t>
      </w:r>
      <w:r>
        <w:t>https://mcp.opencaselaw.ch/entscheid/ag_gerichte_AGVE_2010_30</w:t>
      </w:r>
    </w:p>
    <w:p>
      <w:r>
        <w:t>FR: AG_GERICHTE AGVE 2010 30 du 3 août 2010</w:t>
      </w:r>
    </w:p>
    <w:p>
      <w:r>
        <w:t>IT: AG_GERICHTE AGVE 2010 30 del 3 agosto 2010</w:t>
      </w:r>
    </w:p>
    <w:p>
      <w:pPr>
        <w:pStyle w:val="Heading2"/>
      </w:pPr>
      <w:r>
        <w:t>Regeste</w:t>
      </w:r>
    </w:p>
    <w:p>
      <w:r>
        <w:t>30 Erleichterte Ausnahmebewilligung im Unterabstand von Strassen (§ 67aBauG).Begriff der untergeordneten Baute; Anwendungsfall einer Beton- bzw.Blocksteinmauer.</w:t>
      </w:r>
    </w:p>
    <w:p>
      <w:pPr>
        <w:pStyle w:val="Heading2"/>
      </w:pPr>
      <w:r>
        <w:t>Erwägungen</w:t>
      </w:r>
    </w:p>
    <w:p>
      <w:r>
        <w:rPr>
          <w:b/>
        </w:rPr>
        <w:t>E. 2</w:t>
      </w:r>
    </w:p>
    <w:p>
      <w:r>
        <w:t>(...)</w:t>
      </w:r>
    </w:p>
    <w:p>
      <w:r>
        <w:rPr>
          <w:b/>
        </w:rPr>
        <w:t>E. 3.1</w:t>
      </w:r>
    </w:p>
    <w:p>
      <w:r>
        <w:t>(...) Gemäss § 67a Abs. 1 BauG kann für untergeordnete Bauten und Anlagen wie namentlich Klein- und Anbauten eine erleichterte Aus- nahmebewilligung betreffend Abstände gegenüber Strassen erteilt werden, sofern kein überwiegendes, aktuelles öffentliches Interesse entgegensteht. Die Bauten und Anlagen, die gestützt auf diese Be- stimmung bewilligt worden sind, müssen vom Eigentümer auf erst- malige Aufforderung hin sowie auf eigene Kosten und entschädi- gungslos entfernt oder versetzt werden, wenn die überwiegenden In- teressen eines öffentlichen Werkes es erfordern (§ 67a Abs. 2 BauG). Wie den Materialien zu dieser Bestimmung zu entnehmen ist, kommt eine Ausnahmebewilligung nach § 67a BauG nur bei Bagatellbauten in Betracht, die sich im Falle eines Strassenausbaus mit wenig Aufwand entfernen lassen, wie z.B. Reklametafeln, Schaukästen, Gerätehäuschen oder Autounterstände (Botschaft des Regierungsrats vom 5. Dezember 2007 zur Teilrevision des BauG [Ges.-Nr. 07.314], S. 89). Ob sich eine Baute oder Anlage noch als "untergeordnet" im Sinn von § 67a Abs. 1 BauG bezeichnen lässt, richtet sich somit nach dem Aufwand, der bei einer späteren Beseitigung nach Abs. 2 anfiele. Die Erfahrung lehrt, dass Beseitigungsaufforderungen, selbst wenn sie aufgrund eines Reverses erfolgen, meistens nicht wider- standslos befolgt werden. Das gilt insbesondere dann, wenn erheb- liche wirtschaftliche Interessen im Spiel sind (AGVE 2006, S. 164). Je aufwändiger die spätere Beseitigung ist, desto eher ist mit Wider- stand des Eigentümers zu rechnen, weshalb es sachgerecht erscheint, eine erleichterte Ausnahmebewilligung nach § 67a BauG nur dann zu erteilen, wenn sich die Baute oder Anlage mit wenig Aufwand besei- tigen lässt. 2010 Bau-,Raumentwicklungs-u.Umweltschutzrecht 167 Im vorliegenden Fall ist eine Beseitigung der umstrittenen Mauern schon konstruktionsbedingt (Beton- bzw. Blocksteinmauer) mit beträchtlichem Aufwand verbunden, was sich namentlich in den Beseitigungskosten von Fr. 16'700.-- niederschlägt. Hinzu kommen die nutzlos gewordenen Kosten für die Erstellung der ursprünglichen Mauer sowie die Auslagen für die Erstellung einer neuen Mauer bzw. einer Böschung. Die beiden Mauern können daher nicht mehr unter den Begriff der untergeordneten Klein- oder Anbauten im Sinne von § 67a BauG subsumiert werden. Eine erleichterte Ausnahmebewil- ligung nach § 67a BauG fällt deshalb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