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55 vom 17. Juni 2009</w:t>
      </w:r>
    </w:p>
    <w:p>
      <w:r>
        <w:t>AG Gerichte, 2009-06-17, DE</w:t>
      </w:r>
    </w:p>
    <w:p>
      <w:r>
        <w:rPr>
          <w:b/>
        </w:rPr>
        <w:t xml:space="preserve">Quelle: </w:t>
      </w:r>
      <w:r>
        <w:t>https://mcp.opencaselaw.ch/entscheid/ag_gerichte_AGVE_2009_55</w:t>
      </w:r>
    </w:p>
    <w:p>
      <w:r>
        <w:t>FR: AG_GERICHTE AGVE 2009 55 du 17 juin 2009</w:t>
      </w:r>
    </w:p>
    <w:p>
      <w:r>
        <w:t>IT: AG_GERICHTE AGVE 2009 55 del 17 giugno 2009</w:t>
      </w:r>
    </w:p>
    <w:p>
      <w:pPr>
        <w:pStyle w:val="Heading2"/>
      </w:pPr>
      <w:r>
        <w:t>Regeste</w:t>
      </w:r>
    </w:p>
    <w:p>
      <w:r>
        <w:t>55 Parteientschädigungwaltungsrechtspflegegesetz vom 4. Dezember 2007</w:t>
      </w:r>
    </w:p>
    <w:p>
      <w:pPr>
        <w:pStyle w:val="Heading2"/>
      </w:pPr>
      <w:r>
        <w:t>Volltext</w:t>
      </w:r>
    </w:p>
    <w:p>
      <w:r>
        <w:t>Aargau Obergericht Verwaltungsgericht 04.12.2007 AGVE 2009 55</w:t>
      </w:r>
    </w:p>
    <w:p>
      <w:r>
        <w:t>55 Parteientschädigungwaltungsrechtspflegegesetz vom 4. Dezember 2007</w:t>
      </w:r>
    </w:p>
    <w:p>
      <w:r>
        <w:t>AGVE - Archiv 2009 Verwaltungsrechtspflege 289 [...] 55 Parteientschädigung - Anspruch des Gemeinwesens auf Parteientschädigung nach dem Ver- waltungsrechtspflegegesetz vom 4. Dezember 2007 2009 Verwaltungsgericht 290 Urteil des Verwaltungsgerichts, 3. Kammer, vom 17. Juni 2009 in Sachen V. gegen Stadtrat X. und Departement Bau, Verkehr und Umwelt (WBE.2009.56). Aus den Erwägungen (... [Abweisung der Beschwerde]) II. Bei diesem Ausgang des Verfahrens hat der Beschwerdeführer die verwaltungsgerichtlichen Verfahrenskosten zu bezahlen (§ 31 Abs. 2 VRPG). In Bezug auf die Parteikosten gilt Folgendes: Im Beschwerde- verfahren werden die Parteikosten in der Regel nach Massgabe des Unterliegens und des Obsiegens auf die Parteien verlegt (§ 32 Abs. 2 VRPG). Dem Stadtrat X. kommt nach § 13 Abs. 2 lit. f VRPG Par- teistellung zu. Im Entwurf zum neuen VRPG war ursprünglich in § 32 noch ein Abs. 4 vorgesehen, welcher - entsprechend der lang- jährigen Praxis des Verwaltungsgerichts zu § 36 aVRPG (AGVE 2000, S. 377 ff; 1985, S. 384 ff.) - vorsah, dass Gemeinwe- sen keinen Anspruch auf Parteientschädigungen haben (vgl. Bot- schaft des Regierungsrats des Kantons Aargau an den Grossen Rat vom 14. Februar 2007 [07.27], Gesetz über die Verwaltungsrechts- pflege [Verwaltungsrechtspflegegesetz, VRPG], Bericht und Entwurf zur 1. Beratung, S. 42, 44 f.). Diese Regelung wurde vom Grossen Rat im Rahmen der 2. Beratung gestrichen; gleichzeitig wurde eine vorgeschlagene Kompromissvariante abgelehnt (der Streichungs- antrag obsiegte mit 114 gegen 5 Stimmen über den Antrag des Re- gierungsrats; siehe zum Ganzen Wortprotokoll 2. Beratung vom 4. Dezember 2007, Art. 1451, S. 3023 f.). Gemäss den Materialien sprach sich der Grosse Rat als Gesetzgeber somit klar gegen eine Übernahme der langjährigen Praxis ins neue VRPG aus. Vielmehr wollte er, dass auch das Gemeinwesen einen entsprechenden An- spruch auf eine Parteientschädigung hat, wenn es einen Anwalt bei- zieht (vgl. Wortprotokoll 2. Beratung vom 4. Dezember 2007, Art. 1451, S. 3023 f. [insbesondere Voten Franz Hollinger, Adrian 2009 Verwaltungsrechtspflege 291 Schoch, Urs Leuenberger], siehe auch S. 3022 [Votum Markus Leimbacher]). Vor diesem Hintergrund lässt sich unter Geltung des am 1. Januar 2009 in Kraft getretenen revidierten VRPG nicht mehr an der Praxis gemäss AGVE 2000, S. 377 ff. / 1985, S. 384 ff. zum aVRPG festhalten. Demgemäss hat der Beschwerdeführer dem Stadtrat X. dessen Parteikosten (vgl. § 29 VRPG) für das verwal- tungsgerichtliche Verfahren zu bezahlen. (Hinweis: Das Bundesgericht hat eine Beschwerde gegen diesen Entscheid abgewiesen, soweit es darauf eintrat; Urteil vom 20. April 2010 [1C _ 380/2009]).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