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40 vom 4. Juni 2009</w:t>
      </w:r>
    </w:p>
    <w:p>
      <w:r>
        <w:t>AG Gerichte, 2009-06-04, DE</w:t>
      </w:r>
    </w:p>
    <w:p>
      <w:r>
        <w:rPr>
          <w:b/>
        </w:rPr>
        <w:t xml:space="preserve">Quelle: </w:t>
      </w:r>
      <w:r>
        <w:t>https://mcp.opencaselaw.ch/entscheid/ag_gerichte_AGVE_2009_40</w:t>
      </w:r>
    </w:p>
    <w:p>
      <w:r>
        <w:t>FR: AG_GERICHTE AGVE 2009 40 du 4 juin 2009</w:t>
      </w:r>
    </w:p>
    <w:p>
      <w:r>
        <w:t>IT: AG_GERICHTE AGVE 2009 40 del 4 giugno 2009</w:t>
      </w:r>
    </w:p>
    <w:p>
      <w:pPr>
        <w:pStyle w:val="Heading2"/>
      </w:pPr>
      <w:r>
        <w:t>Regeste</w:t>
      </w:r>
    </w:p>
    <w:p>
      <w:r>
        <w:t>40 Zuständigkeit des Verwaltungsgerichts und Schadenersatz gemäss § 38SubmD; Praxisänderung zu AGVE 2003, S. 274rechtswidrige Vergaben unterhalb des GATT-Bereichs anwendbar.Schadenersatz.</w:t>
      </w:r>
    </w:p>
    <w:p>
      <w:pPr>
        <w:pStyle w:val="Heading2"/>
      </w:pPr>
      <w:r>
        <w:t>Volltext</w:t>
      </w:r>
    </w:p>
    <w:p>
      <w:r>
        <w:t>Aargau Obergericht Verwaltungsgericht 04.06.2009 AGVE 2009 40</w:t>
      </w:r>
    </w:p>
    <w:p>
      <w:r>
        <w:t>40 Zuständigkeit des Verwaltungsgerichts und Schadenersatz gemäss § 38SubmD; Praxisänderung zu AGVE 2003, S. 274rechtswidrige Vergaben unterhalb des GATT-Bereichs anwendbar.Schadenersatz.</w:t>
      </w:r>
    </w:p>
    <w:p>
      <w:r>
        <w:t>AGVE - Archiv 2009 Verwaltungsgericht 210 [...] 40 Zuständigkeit des Verwaltungsgerichts und Schadenersatz gemäss § 38 SubmD; Praxisänderung zu AGVE 2003, S. 274 - Die Haftungs- und Zuständigkeitsnorm des SubmD ist auch auf rechtswidrige Vergaben unterhalb des GATT-Bereichs anwendbar. - Eigenleistungen, Parteikosten und vorprozessuale Anwaltskosten als Schadenersatz. 2009 Submissionen 211 Urteil des Verwaltungsgerichts, 4. Kammer, vom 30. Juni 2009 in Sachen K.P. gegen Gemeinde X. (WKL.2007.1). Aus den Erwägungen I. 2. 2.1. Gemäss § 38 Abs. 1 SubmD haftet die Vergabestelle für Schä- den, die sie durch eine rechtswidrige Verfügung verursacht hat. Das Schadenersatzbegehren ist gemäss § 38 Abs. 3 SubmD innert Jah- resfrist, nachdem die Rechtswidrigkeit in einem Beschwerdeent- scheid festgestellt worden ist, bei der Beschwerdeinstanz einzurei- chen. § 38 SubmD ist systematisch unter den zusätzlichen Bestim- mungen eingereiht, die für Vergaben zur Anwendung kommen, die die Schwellenwerte für die Anwendung des GATT/WTO-Überein- kommens über das öffentliche Beschaffungswesen oder des Ab- kommens zwischen der Schweizerischen Eidgenossenschaft und der Europäischen Gemeinschaft über bestimmte Aspekte des öffentlichen Beschaffungswesens erreichen (siehe § 29 ff. SubmD). Unter diesem Gesichtspunkt hat das Verwaltungsgericht in einem publizierten Urteil vom 27. Juni 2003 ohne nähere Begründung ausgeführt, dass für rechtswidrige Vergaben, die nicht dem GATT-Abkommen unterstehen, die spezialgesetzliche Schadenersatzregelung von § 38 SubmD nicht zur Anwendung gelange (VGE IV/19 vom 27. Juni 2003 [KL.2001.00004], Erw. 2.d.dd, in: AGVE 2003, S. 274). 2.2. Die Klägerin macht unter Bezugnahme auf die Materialien gel- tend, ein genereller Ausschluss eines öffentlich-rechtlichen Schaden- ersatzanspruchs einer widerrechtlichen Vergabe verstosse gegen Art. 9 Abs. 3 BGBM und Art. 18 Abs. 2 IVöB. Das Bundesrecht ver- lange, dass der widerrechtlich um den Auftrag gebrachte Anbieter, auch unterhalb der GATT-Schwellenwerte, einen öffentlich-rechtli- chen Schadenersatzanspruch habe. Die vom Verwaltungsgericht er- wogene Unterscheidung der Zuständigkeiten für vergaberechtliche 2009 Verwaltungsgericht 212 Schadenersatzansprüche, allein gestützt auf die Schwellenwerte, sei weder sachgerecht noch prozessökonomisch. Die Beklagte schliesst sich diesem Standpunkt an. 2.3. Die sachliche Zuständigkeit hat das Verwaltungsgericht von Amtes wegen zu prüfen. Diese zwingende Regelung kann weder durch Parteivereinbarung noch durch Einlassung abgeändert werden (AGVE 1996, S. 173). Die Beurteilung dieser Frage rechtfertigt eine Besetzung mit fünf Richtern (§ 46 GOD) unter Mitwirkung des Präsidenten der 3. Kammer (§ 7 des Reglements des Verwaltungsgerichts über die Geschäftsverteilung). 2.4. Das Verwaltungsgericht schloss aus den Materialien zur syste- matischen Eingliederung von § 38 SubmD (im 2. Teil des Submissi- onsdekrets), ohne nähere Begründung, die Anwendung dieser spezi- algesetzlichen Regelung auf Vergaben, die nicht dem GATT-Ab- kommen unterstehen, aus. Diese Auffassung hält einer näheren Prü- fung nicht stand. 2.4.1. Die systematische Einordnung von § 38 SubmD im 2. Teil des Submissionsdekrets lässt sich aus der Entstehungsgeschichte des Dekrets erklären. Noch im Vernehmlassungsentwurf des Regie- rungsrates vom 1. Dezember 1995 war die Schadenersatzklage des widerrechtlich unberücksichtigten Anbieters im Allgemeinen Teil geregelt. Regierungsrat Pfisterer hat in der Kommissionsberatung zur Verschiebung folgendes ausgeführt: "Die fragliche Bestimmung war ursprünglich dem Allgemeinen Teil zugeordnet, was jedoch im Vernehmlassungsverfahren auf erheblichen Widerstand stiess. Es wurde geltend gemacht, dass es unnötig sei, den Anwendungsbereich dieser GATT-Regeln auf die Vergabe, die nicht dem Besonderen Teil unterstehen, auszudehnen. Diesen Einwänden hat man Rechnung getragen. Sollte sich die Be- stimmung in der Praxis bewähren, wird es aber kein Problem sein, diese wieder in den Allgemeinen Teil zu verlegen. Im Übrigen kennt auch der Bund eine solche Zweiteilung." 2009 Submissionen 213 (Protokoll der 3. Sitzung der nichtständigen Kommission Nr. 19 vom 4. September 1996, S. 28). Das Motiv, die Schadenersatzregelung nur auf den GATT-Be- reich, nicht aber auf die übrigen Vergaben anzuwenden, erscheint bei näherer Prüfung jedoch nicht schlüssig. § 38 SubmD enthält nicht nur eine spezielle Rechtschutzbestimmung für die vergaberechtliche Verantwortlichkeit (Abs. 1 und 2), sondern im Abs. 3 auch eine Zu- ständigkeitsbestimmung. Umstritten war in den Beratungen der Anwendungsbereich der GATT-Regeln, nicht aber die Zuständigkeit der Beschwerdeinstanz zur Beurteilung von Schadenersatzklagen. Mit der Verschiebung der Bestimmung aus dem allgemeinen Teil wurde und konnte die Geltendmachung von Schadenersatzan- sprüchen nicht ausgeschlossen werden. Aufgrund des Verantwort- lichkeitsgesetzes vom 14. März 1958 (VG; SR 170.32) und unmittel- bar aus § 75 Abs. 2 KV haften der Kanton und die Gemeinden für widerrechtlich - und ausnahmsweise für rechtmässig - zugefügten Schaden. Der Hinweis auf eine bundesrechtliche Zweiteilung des Rechtschutzes bei widerrechtlichen Vergaben ist zudem nicht kor- rekt. Im Bundesgesetz über das öffentliche Beschaffungswesen vom 16. Dezember 1994 (BoeB; SR 172.056.1) ist die Regelung betref- fend Schadenersatzansprüche nach der Feststellung der Rechtswid- rigkeit einer Vergabeverfügung (Art. 34 BoeB) einheitlich geregelt. Nur in den Fällen, in denen die Rechtswidrigkeit einer Vergabe nicht im (Feststellungs-) Verfahren nach Art. 32 Abs. 2 oder Art. 33 BoeB festgestellt worden ist, kommt das Verantwortlichkeitsgesetz des Bundes zur Anwendung (Art. 34 Abs. 3 BoeB; vgl. hiezu die Ent- scheide der Eidgen. Rekurskommission für das öffentliche Beschaf- fungswesen [BRK] 18/00 Erw. 4.a und BRK 5/01 Erw. 3.b; Peter Galli / André Moser / Elisabeth Lang / Evelyne Clerc, Praxis des öf- fentlichen Beschaffungsrechts, 2. Auflage, Zürich/Basel/Genf 2007, Rz. 942). Keine Unterschiede bestehen hinsichtlich der zuständigen Instanz für die vergaberechtlichen Schadenersatzklagen (Art. 35 BoeB). 2.4.2. § 27 Abs. 2 SubmD sieht auch für die Vergaben unterhalb der GATT-Schwellenwerte ausdrücklich einen Feststellungsentscheid zu 2009 Verwaltungsgericht 214 einer widerrechtlichen Vergabe im Beschwerdeverfahren vor. Ein solcher Feststellungsentscheid macht jedoch nur Sinn, wenn in einem (anschliessenden) vergaberechtlichen Sekundärrechtschutz (siehe dazu Martin Beyeler, Öffentliche Beschaffung, Vergaberecht und Schadenersatz, Diss. Fribourg 2004, Rz. 388) über die Schaden- ersatzansprüche entschieden wird. Einen sekundären Rechtschutz haben die Kantone nach Art. 18 Abs. 2 IVöB und Art. 9 Abs. 3 BGBM implizit zu gewährleisten (Beyeler, a.a.O., Rz. 565 f.; BGE 132 I 86 Erw. 3.2 und Urteil des Bundesgerichts vom 31. Januar 2002 [2P.218/2001], Erw. 2.3). Noch in der Botschaft vom 22. Mai 1996 wurde denn auch festgehalten, dass die Schadener- satzregelung in der IVöB vorgesehen ist (Botschaft des Regierungs- rates vom 22. Mai 1996 [Nr. 7274], S. 20). Die blosse Feststellung der Widerrechtlichkeit einer Vergabe vermag diesen Anforderungen nicht zu genügen. Der Feststellungsentscheid als (blosse) Grundlage für eine Haftung der Vergabestelle nach dem Verantwortlichkeitsgesetz ist aus verschiedenen materiellen Gründen problematisch. § 2 VG regelt die Haftung von Kanton und Gemeinden, und bereits seine Anwen- dung auf die Haftung der selbständigen Staatsanstalten ist fraglich (siehe § 4 VG), geschweige denn, dass sämtliche Vergabestellen ge- mäss § 5 SubmD unter das Verantwortlichkeitsgesetz fallen würden. Eine kantonale Regelung in Anwendung von Art. 59 ZGB, wonach in diesen Fällen das Bundeszivilrecht als kantonales Recht gelten würde (siehe dazu BGE 96 II 337 Erw. 4.a), fehlt. Auch in der materiellen Rechtsanwendung führte diese Rechtsweggabelung mit dem Wechsel der Anspruchsgrundlagen zu heiklen Fragestellungen. So kennt das Verantwortlichkeitsgesetz die Haftungsbeschränkung des § 38 Abs. 2 SubmD nicht, verlangt aber vom Geschädigten den Nachweis eines Verschuldens (§ 2 VG). Offen ist im Weiteren, ob die Feststellung der Rechtswidrigkeit einer Vergabe durch das Verwal- tungsgericht als qualifizierte Widerrechtlichkeit im Sinne des Ver- antwortlichkeitsgesetzes genügt (BGE 123 II 577 Erw. 4.d). Bei der Verschiebung der Bestimmungen über den sekundären Rechtsschutz in den 2. Teil des Submissionsdekrets hat der Gesetz- geber offensichtlich nicht bedacht, dass die damit beabsichtigte 2009 Submissionen 215 Folge, kein Schadenersatzanspruch aus der Widerrechtlichkeit einer Vergabe, nicht möglich ist, sondern nur zu einer komplizierten, we- nig praktikablen Änderung der Anspruchsgrundlagen mit nicht zu rechtfertigenden Unterschieden im Haftungsumfang, den Haftungs- voraussetzungen und der Rechtsstellung des Geschädigten wie der Vergabestelle unterhalb des GATT-Bereichs führt. In den Beratungen des Grossen Rates wurden diese Bestimmungen denn auch dis- kussionslos genehmigt (Protokoll des Grossen Rates vom 26. No- vember 1996 [Art. 1995], S. 622). Beim Erlass des Submissionsdek- rets wollte der Gesetzgeber eine möglichst praxisfreundliche Umset- zung der vielfältigen übergeordneten Regelungen (Botschaft, S. 4). Die systematische Stellung von § 38 SubmD weist damit nach den Ziel- und Wertvorstellungen des Gesetzgebers sowie den bundes- rechtlichen und kantonalrechtlichen Vorgaben eine planwidrige Un- vollständigkeit, eine echte Lücke, auf. Anzunehmen ist, dass der Ge- setzgeber anders legiferiert hätte, wäre er sich der Rechtslage und der Folgen dieser Verschiebung bewusst gewesen (AGVE 2001, S. 352). Das Fehlen des subsidiären vergaberechtlichen Rechtsschutzes im Allgemeinen Teil des SubmD (Erster Teil, §§ 1 ff. SubmD) bedeutet eine ausfüllungsbedürftige Lücke und keine bewusst negative Ant- wort des Gesetzes (dazu BGE 131 II 562 Erw. 3.5 mit Hinweisen; Ulrich Häfelin / Georg Müller / Felix Uhlmann, Allgemeines Ver- waltungsrecht, 5. Auflage, Zürich 2006, Rz. 234). Aus den vorste- henden Erwägungen ergibt sich, dass § 38 SubmD entgegen seiner systematischen Stellung im 2. Teil des Submissionsdekrets auf alle Fälle anzuwenden ist, in denen im Beschwerdeverfahren nach § 24 SubmD ein Feststellungsentscheid über eine rechtswidrige Vergabe vorliegt. Eine Rechtsanwendung mit unterschiedlichen Anspruchs- voraussetzungen lässt sich mit dem Willen des Gesetzgebers und den bundesrechtlichen Vorgaben nicht in Einklang bringen. Nur eine analoge Anwendung von § 38 SubmD auch unterhalb des GATT-Be- reichs ist mit dem Ziel und Zweck des sekundären Rechtschutzes im Vergaberecht sachgerecht vereinbar (BGE 131 III 61 Erw. 2.2 mit Hinweisen). Die gleichgelagerten sachlichen Verhältnisse und der nämliche Regelungszusammenhang rechtfertigen diesen Analogie- schluss (BGE 130 V 71 Erw. 3.2.1). Entgegen der Rechtsprechung in 2009 Verwaltungsgericht 216 AGVE 2003, S. 274 ist daher § 38 SubmD auch auf rechtswidrige Vergaben unterhalb des GATT-Bereichs anwendbar. 2.4.3. Folge dieser Rechtsanwendung ist die Zuständigkeit des Ver- waltungsgerichts gemäss § 38 Abs. 3 SubmD. Die Zuständigkeit des Verwaltungsgerichts war in der Rechtsetzung unumstritten und ent- spricht dem Grundsatz, dass Haftungsklagen aus öffentlichem Recht mit verwaltungsgerichtlicher Klage geltend zu machen sind (siehe Entwurf Haftungsgesetz vom 24. März 2009, § 11). 3.-5. (...) II. 1.-2. (...) 3. 3.1.-3.4. (...) 3.5. Die Klägerin macht im Zusammenhang mit den Eigenleistun- gen in den Beschwerdeverfahren einen Schaden von Fr. 5'252.05 (Fr. 4'881.10 + 7,6% MWSt) geltend. Die Beklagte ist der Meinung, die Geltendmachung von Aufwendungen im Zusammenhang mit den Rechtsmittelverfahren sei der Klägerin u.a. verwehrt, weil unge- deckte Parteikosten aus einem Rechtsmittelverfahren nicht Schaden im Sinne von § 38 Abs. 2 SubmD sei. 3.5.1. Gemäss § 38 Abs. 2 SubmD sind dem geschädigten Anbieter, nebst den Aufwendungen im Zusammenhang mit der Ausarbeitung der Offertenunterlagen, auch die Aufwendungen für das Rechtsmit- telverfahren zu ersetzen. Ersatzpflichtige Aufwendungen im Be- schwerdeverfahren sind jene Leistungen, welche im Hinblick auf den Primärrechtschutz erbracht und nutzlos geworden sind (AGVE 2003, S. 273). Wurde das Submissionsverfahren nach der Aufhebung des Zuschlags rechtswidrig abgebrochen, waren auch die notwendigen Kosten für das Beschwerdeverfahren vergeblich. Die Klägerin ist somit in der gleichen Lage, wie wenn das Verfahren vor dem Zu- schlag nicht weitergeführt wurde. Somit umfasst der Entschädi- gungsanspruch aus § 38 Abs. 2 SubmD alle Aufwendungen des An- bieters für ein Submissionsverfahren vom Angebot bis zum Abbruch 2009 Submissionen 217 des Submissionsverfahrens, somit auch für die Leistungen und Be- mühungen in Beschwerdeverfahren, welche zur Aufhebung des Zu- schlags führten. Prozessual tritt diese Rechtsfolge schon mit der Rückweisung durch das Verwaltungsgericht ein (§ 58 aVRPG). Als Aufwendungen im Zusammenhang mit dem Rechtsmittel- verfahren qualifizierte die Lehre unter anderem auch die Löhne der Angestellten des Anbieters, welche an der Beschwerdeführung mit- wirken (Beyeler, a.a.O., Rz. 634; Peter Gauch, Das neue Beschaf- fungsgesetz des Bundes - Bundesgesetz über das öffentliche Be- schaffungswesen vom 16. Dezember 1994, in: ZSR 1999 I, S. 330). Soweit die Aufwendungen der Klägerin nicht als nutzlos zu betrachten sind, ist kein Grund ersichtlich, diese Aufwendungen nicht als Schadenersatzposten dazuzurechnen. Für die Instruktion des Anwalts und die Zusammenstellung der Unterlagen für eine Be- schwerde erbrachte Leistungen sind daher ersatzfähig, wenn diese vernünftigerweise erforderlich waren, um das Rechtsmittelverfahren mit Aussicht auf Erfolg vorzubereiten und durchzuführen. 3.5.2. Die Leistungen in den Beschwerdeverfahren beziffert die Klä- gerin mit Fr. 5'252.05 (siehe vorne Erw. 3.5). Dieser Aufwand wird mit rund 14 Stunden des 'Leitenden Ingenieurs' und rund 13 Stunden des 'Erfahrenen Ingenieurs' für die beiden Beschwerdeverfahren be- gründet und umfasst gemäss Leistungsjournal mehrere Besprechun- gen mit dem Anwalt, das Aktenstudium und das Bereitstellen der Unterlagen für die Beschwerden. Der Aufwand erscheint weder un- nötig noch wird ein Aufwand geltend gemacht, der bei verwaltungs- gerichtlichen Beschwerdeverfahren in Submissionsstreitigkeiten als unüblich erscheint. Substantiierte Einwendungen gegen die ausge- wiesenen Stunden und Spesen werden auch von der Beklagten nicht erhoben. Es rechtfertigt sich daher, die ausgewiesenen Stunden und Spesen für die Beschwerdeverfahren der Schadensberechnung zu- grunde zu legen. Ohne Mehrwertsteuer und nach Abzug der 15% (siehe vorne Erw. 3.4.3) beträgt der ausgewiesene Schaden für das Beschwerdeverfahren demnach Fr. 4'148.95 (4'881.10 ./. 15%). 2009 Verwaltungsgericht 218 3.5.3. Diese Schadenersatzforderung ist, entgegen der Auffassung der Beklagten, nicht Teil der Parteientschädigung und auch nicht mit der Kostenverlegung in den beiden Beschwerdeentscheiden rechtskräftig entschieden. Die Parteientschädigung gemäss § 36 Abs. 2 aVRPG umfasst nur die Kosten der Vertretung, Verbeiständung oder Bera- tung nicht aber die sog. Parteikosten (AGVE 2001, S. 583 mit Hin- weis; siehe auch die besondere Regelung für die Zivilverfahren in § 31 VKD). 3.6. (...) 3.7. Die Klägerin macht bei ihrer Schadenersatzforderung für die Leistungen auch den Betrag für die Mehrwertsteuer geltend. Nach Art. 5 des Bundesgesetzes über die Mehrwertsteuer vom 2. Sep- tember 1999 (Mehrwertsteuergesetz, MWSTG; SR 641.20) unterliegen Lieferungen und Dienstleistungen der Mehrwertsteuer nur, wenn sie gegen Entgelt erbracht werden. Die Entgeltlichkeit er- fordert einen Leistungsaustausch zwischen dem steuerpflichtigen Leistungserbringer und dem Empfänger. Findet bei einer Schadener- satzzahlung kein Leistungsaustausch statt, liegt auch keine mehr- wertsteuerrechtliche Aktivität vor. Massgeblich ist, dass die Entschä- digung geschuldet ist, weil der Geschädigte gegen seinen Willen ei- nen Schaden erlitten hat, der den Verantwortlichen zur Wiederher- stellung des früheren Zustands verpflichtet (Urteil des Bundesver- waltungsgerichts vom 8. Januar 2008 [A-1539/2006], Erw. 2.2.2 mit weiteren Hinweisen). Im vorliegenden Fall geht es darum den Scha- den zu ersetzen, der durch die widerrechtlichen Verfügungen ent- standen ist. Eine Gegenleistung der Klägerin ist dabei nicht ge- schuldet. Der zu bezahlende Schadenersatz ist somit keine mehr- wertsteuerrechtliche Aktivität. 4. 4.1. Die Klägerin macht sodann zusätzliche Kosten für ihre Rechts- vertretung in den beiden Beschwerdeverfahren geltend, da ihr die in den Verwaltungsgerichtsurteilen zugesprochenen, aufgrund des Streitwerts eher bescheiden ausgefallenen Parteientschädigungen 2009 Submissionen 219 nicht vollständig gedeckt worden seien. Die Beklagte ist jedoch der Meinung, die Klägerin sei nicht berechtigt, ihren über die bereits rechtskräftig zugesprochene Parteientschädigung hinausgehenden Aufwand für die durchschrittenen Beschwerdeverfahren geltend zu machen. Die Frage der Parteientschädigung in den Beschwerdever- fahren sei rechtskräftig erledigt und könne vorliegend nicht mehr aufgegriffen werden. 4.2. Die Lehre ist der Meinung, dass die Differenz zwischen den tat- sächlichen Parteivertretungskosten und den zugesprochenen Partei- entschädigungen in den Beschwerdeverfahren als Schadenersatz im Sekundärrechtsschutz geltend gemacht werden kann (statt vieler: Beyeler, a.a.O., Rz. 652 mit Hinweisen). § 38 Abs. 2 SubmD stellt entgegen der Meinung der Beklagten nicht bloss einen Verweis auf das Recht der Parteientschädigung dar. Es ist kein Grund ersichtlich, warum im Schadenersatzverfahren geregelt werden muss, dass im vorangehenden Beschwerdeverfahren eine Parteientschädigung ge- schuldet ist. Warum sollte auf etwas verwiesen werden, das in einem früheren Verfahren bereits entschieden wurde. Im Primärrechtsschutz ist es dem Beschwerdeführer verwehrt, Schadenersatz geltend zu machen. Die Aufwendungen für die Rechtsvertretung werden auf- grund des AnwT meistens nicht voll gedeckt. Die obsiegende Partei muss diesfalls einen Teil der Rechtsvertretungskosten selbst übernehmen. Für die Partei stellt dies eine Aufwendung im Rechtsmittelverfahren dar. Diese Aufwendungen aus nicht gedeckten Parteivertretungskosten können somit als (Rest-)Schaden im Rechts- mittelverfahren geltend gemacht werden, geht es doch darum, das negative Interesse der Klägerin auszugleichen. Der Anspruch ist dabei auf den Teil der Parteikosten beschränkt, bei dem die Klägerin im Beschwerdeverfahren obsiegte. Die Aufwendungen hinsichtlich der Beschwerdeanträge, bei denen die Klägerin unterlag, waren nutzlos und sind nicht zu ersetzen. Daraus ergibt sich, dass der Klä- gerin aus dem Verfahren WBE.2005.212 ein Restschaden aus der Parteientschädigung von Fr. 3'783.50 zusteht. Für das Verfahren WBE.2006.24 ergibt sich ein Restanspruch von Fr. 379.30. 2009 Verwaltungsgericht 220 5. 5.1. Die Klägerin macht vorprozessuale Anwaltskosten in Höhe von Fr. 824.90 geltend. Die Beklagte führt aus, die Klägerin könne - ab- gesehen von einer ihr allenfalls zuzusprechenden Parteientschädi- gung gemäss § 36 aVRPG - keine Aufwendungen im Zusammen- hang mit dem vorliegenden Klageverfahren gestützt auf § 38 SubmD geltend machen. 5.2. Das Bundesgericht und die herrschende Lehrmeinung vertreten die Ansicht, dass die von einem Geschädigten aufgewendeten vor- prozessualen Anwaltskosten einen Bestandteil des Schadens bilden, soweit sie nicht durch die nach kantonalem Verfahrensrecht zuzu- sprechende Parteientschädigung gedeckt sind (BGE 117 II 394, Erw. 3.a; Urteil des Bundesgerichts vom 19. Mai 2003 [4C.11/2003], Erw. 5; Alfred Bühler / Andreas Edelmann / Albert Killer, Kommen- tar zur aargauischen Zivilprozessordnung, Aarau 1998, § 121 Rz. 16 mit Hinweisen). Diese - als vorprozessuale Anwaltskosten geltend gemachte - Schadensposition betrifft die Aufwendungen des Rechtsvertreters der Klägerin im Zeitraum zwischen dem 15. November 2006 und dem 7. Dezember 2006. Sie betreffen Aufwendungen ausserhalb des Schadenersatzprozesses. Gemäss § 6 AnwT sind die vorprozessualen Kosten nicht gedeckt. Dieser Schaden ist somit als Schaden im Zu- sammenhang mit dem Rechtsmittelverfahren zu ersetzen (Beyeler, a.a.O., Rz. 654 ff.). Auch das verwaltungsgerichtliche Klageverfah- ren ist ein Rechtsmittelverfahren (Michael Merker, Rechtsmittel, Klage und Normenkontrollverfahren nach dem aargauischen Gesetz über die Verwaltungsrechtspflege, Kommentar zu den §§ 38-72 VRPG, Diss. Zürich 1998, § 45 N 38). Die Kausalität zwischen dem entstandenen Schaden und der widerrechtlichen Verfügung ist zu bejahen, womit die Beklagte den geltend gemachten Schaden von Fr. 824.90 zu ersetzen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