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3 vom 7. Juli 2008</w:t>
      </w:r>
    </w:p>
    <w:p>
      <w:r>
        <w:t>AG Gerichte, 2008-07-07, DE</w:t>
      </w:r>
    </w:p>
    <w:p>
      <w:r>
        <w:rPr>
          <w:b/>
        </w:rPr>
        <w:t xml:space="preserve">Quelle: </w:t>
      </w:r>
      <w:r>
        <w:t>https://mcp.opencaselaw.ch/entscheid/ag_gerichte_AGVE_2009_3</w:t>
      </w:r>
    </w:p>
    <w:p>
      <w:r>
        <w:t>FR: AG_GERICHTE AGVE 2009 3 du 7 juillet 2008</w:t>
      </w:r>
    </w:p>
    <w:p>
      <w:r>
        <w:t>IT: AG_GERICHTE AGVE 2009 3 del 7 luglio 2008</w:t>
      </w:r>
    </w:p>
    <w:p>
      <w:pPr>
        <w:pStyle w:val="Heading2"/>
      </w:pPr>
      <w:r>
        <w:t>Regeste</w:t>
      </w:r>
    </w:p>
    <w:p>
      <w:r>
        <w:t>3 Art. 279 und 287 Abs. 3 ZGBDas mit der Unmündigenunterhaltsklage befasste Gericht, das sich mitder Genehmigung einer zwischen dem Kinderbeistand und dem Vater geschlossenen Unterhaltsvereinbarung begnügt, ohne die Kindesmutterangehört zu haben, begeht dieser gegenüber eine Gehörsverletzung.</w:t>
      </w:r>
    </w:p>
    <w:p>
      <w:pPr>
        <w:pStyle w:val="Heading2"/>
      </w:pPr>
      <w:r>
        <w:t>Erwägungen</w:t>
      </w:r>
    </w:p>
    <w:p>
      <w:r>
        <w:rPr>
          <w:b/>
        </w:rPr>
        <w:t>E. 30</w:t>
      </w:r>
    </w:p>
    <w:p>
      <w:r>
        <w:t>besondere Befugnisse übertragen, ist daher der Inhalt des Auftrages präzise festzulegen (BGE 118 II 242; Breitschmid in: Honsell/Vogt/ Geiser, Basler Kommentar, 3. A., Basel/Genf/München 2006, N. 6 zu Art. 308 ZGB; Hegnauer, Berner Kommentar, Bern 1997, N. 121 zu Art. 275 ZGB; Guler, a.a.O., S. 63). Wo nicht ein Teilentzug der elterlichen Sorge (Art. 308 Abs. 3 ZGB) erfolgt, führt die Beistandschaft i.S.v. Art. 308 Abs. 1 und 2 ZGB zu einer konkurrierenden Zuständigkeit des Beistandes neben dem Inhaber der elterlichen Sorge (Breitschmid, a.a.O., N.. 5 zu Art. 308 ZGB; Guler, a.a.O., S. 63; Biderbost, Die Erziehungsbeistand- schaft, Freiburg 1996, S. 287 f. und 361 ff.; Hegnauer, Grundriss des Kindesrechts und des übrigen Verwandtschaftsrechts, 5. A., Bern 1999, Rz. 27.24). Das Kind hat dann zwei gesetzliche Vertreter, ei- nen ordentlichen, den Inhaber der elterlichen Sorge, und einen aus- serordentlichen, den Erziehungsbeistand (Biderbost, a.a.O., S. 281 f. und 362 f.; Hegnauer, Grundriss, a.a.O., Rz. 27.24). 1.2.-2.1. (...) 2.2. Dem Beklagten ist insoweit zuzustimmen, als der zur Vertre- tung des Kindes bei der Wahrung des Unterhaltsanspruches bestellte Beistand aufgrund seiner konkurrierenden Zuständigkeit neben dem Inhaber der elterlichen Sorge auch ohne dessen Zustimmung rechts- gültig mit dem Unterhaltspflichtigen einen Unterhaltsvertrag ab- schliessen kann (Breitschmid, a.a.O., N. 5 zu Art. 308 ZGB; ZVW 1994 S. 165). Vorliegend verhält es sich allerdings so, dass die Vorin- stanz den Anspruch der Kindsmutter auf rechtliches Gehör verwei- gert hat, indem sie sich auf die schlichte Genehmigung der von der Beiständin der Klägerin sowie vom Beklagten unterzeichneten Ver- einbarung beschränkt hat, dies umso mehr als sie wusste, dass die Kindsmutter diese Vereinbarung ablehnte. Auch in dem vom Bei- stand gestützt auf Art. 308 Abs. 2 ZGB namens des Kindes angeho- benen Unterhaltsprozess ist nämlich die Kindsmutter als Inhaberin der elterlichen Sorge berechtigt, eigene Anträge zu stellen (BGE 5P.468/2000 Erw. 2c; Hegnauer, Berner Kommentar, Bern 1997, N. 24b zu Art. 279/280 ZGB; Hegnauer, Berner Kommentar, Bern 2009 Zivilrecht</w:t>
      </w:r>
    </w:p>
    <w:p>
      <w:r>
        <w:rPr>
          <w:b/>
        </w:rPr>
        <w:t>E. 31</w:t>
      </w:r>
    </w:p>
    <w:p>
      <w:r>
        <w:t>1984, N. 17 zu Art. 261 ZGB) und gegen die Genehmigung eines mit Zustimmung des Beistandes abgeschlossenen Unterhaltsvertrages Beschwerde zu führen (Hegnauer, Berner Kommentar, Bern 1969, N. 117 zu aArt. 319 ZGB), sofern ihre Elternrechte nicht vorgängig ge- stützt auf Art. 308 Abs. 3 ZGB beschränkt worden sind. Die Kinds- mutter war daher im Unterhaltsprozess des Kindes anzuhören, zumal für die Festlegung des Unterhaltsbeitrages die Lebensstellung und Leistungsfähigkeit beider Elternteile massgebend sind (Art. 285 Abs. 1 ZGB) und deshalb im Rahmen der für die Kinderbelange geltenden Offizial- und Untersuchungsmaxime (Art. 280 Abs. 2 ZGB) stets auch die Verhältnisse der Kindsmutter abzuklären sind, denn mit dem Unterhaltsentscheid wird indirekt auch deren elterlicher Unterhalts- beitrag festgelegt (Hegnauer, Berner Kommentar, Bern 1997, N. 59 zu Art. 287/288 ZGB; Metzler, Die Unterhaltsverträge nach dem neuen Kindesrechts [Art. 287 und 288 ZGB], Diss., Zürich 1980, S. 93 Anm. 1 und S. 348; Hegnauer, Berner Kommentar, Bern 1969, N. 117 zu aArt. 319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