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11 vom 21. Juli 2009</w:t>
      </w:r>
    </w:p>
    <w:p>
      <w:r>
        <w:t>AG Gerichte, 2009-07-21, DE</w:t>
      </w:r>
    </w:p>
    <w:p>
      <w:r>
        <w:rPr>
          <w:b/>
        </w:rPr>
        <w:t xml:space="preserve">Quelle: </w:t>
      </w:r>
      <w:r>
        <w:t>https://mcp.opencaselaw.ch/entscheid/ag_gerichte_AGVE_2009_11</w:t>
      </w:r>
    </w:p>
    <w:p>
      <w:r>
        <w:t>FR: AG_GERICHTE AGVE 2009 11 du 21 juillet 2009</w:t>
      </w:r>
    </w:p>
    <w:p>
      <w:r>
        <w:t>IT: AG_GERICHTE AGVE 2009 11 del 21 luglio 2009</w:t>
      </w:r>
    </w:p>
    <w:p>
      <w:pPr>
        <w:pStyle w:val="Heading2"/>
      </w:pPr>
      <w:r>
        <w:t>Regeste</w:t>
      </w:r>
    </w:p>
    <w:p>
      <w:r>
        <w:t>11 Art. 9 BV; Art. 4 Protokoll Nr. 7 zur EMRK; Art. 14 Abs. 7 Internationaler Pakt über bürgerliche und politische Rechte (UNO-Pakt II);Art. 37 Abs. 1 lit. b OHG. Doppelbestrafungsverbot ("ne bis in idem")Der Grundsatz "ne bis in idem" verbietet in Folge eines Strassenverkehrsunfalles eine Anklage wegen...</w:t>
      </w:r>
    </w:p>
    <w:p>
      <w:pPr>
        <w:pStyle w:val="Heading2"/>
      </w:pPr>
      <w:r>
        <w:t>Erwägungen</w:t>
      </w:r>
    </w:p>
    <w:p>
      <w:r>
        <w:rPr>
          <w:b/>
        </w:rPr>
        <w:t>E. 9</w:t>
      </w:r>
    </w:p>
    <w:p>
      <w:r>
        <w:t>Juni 2009 das Strafverfahren erneut ein mit der Begründung, eine Anklage verletze den Grundsatz "ne bis in idem", da gestützt auf den zu beurteilenden Sachverhalt bereits ein Strafbefehl erlassen worden 2009 Obergericht 58 sei. Dagegen erhob der Beschwerdeführer erneut Beschwerde, wel- che Gegenstand des vorliegenden Entscheides bildet. Aus den Erwägungen 2. Die Staatsanwaltschaft stützt ihre neuerliche Einstellungsverfü- gung auf das Argument, eine Verurteilung der Beschuldigten wegen fahrlässiger Körperverletzung würde den Grundsatz "ne bis in idem" verletzen. Der Grundsatz "ne bis in idem" bildet nach der bundesgerichtli- chen Rechtsprechung Teil des Bundesstrafrechts und lässt sich direkt aus der Bundesverfassung ableiten (Urteil des Bundesgerichts vom</w:t>
      </w:r>
    </w:p>
    <w:p>
      <w:r>
        <w:rPr>
          <w:b/>
        </w:rPr>
        <w:t>E. 10</w:t>
      </w:r>
    </w:p>
    <w:p>
      <w:r>
        <w:t>September 2003 6P.51/2003 mit weiteren Hinweisen). Er ergibt sich im Übrigen aus Art. 14 Abs. 7 des UNO-Paktes II über bürgerli- che und politische Rechte. Explizit wird er in Art. 4 des 7. Zusatzpro- tokolls zur EMRK festgehalten. Abs. 1 dieser Bestimmung lautet: "Niemand darf wegen einer Straftat, wegen der er bereits nach dem Gesetz und dem Strafverfahrensrecht eines Staates rechtskräftig verurteilt oder freigesprochen worden ist, in einem Strafverfahren desselben Staates erneut verfolgt oder bestraft werden." Der Grundsatz "ne bis in idem" verbietet also nicht nur die dop- pelte Bestrafung in derselben Sache, sondern bereits die doppelte Strafverfolgung (dazu Jürg-Beat Ackermann / Stefan Ebensperger, Der EMRK-Grundsatz "ne bis in idem" - Identität der Tat oder Identität der Strafnorm?, in: AJP 1999, 823 ff. 833 und FN 78 und 79 mit zahlreichen Hinweisen und Jürg-Beat Ackermann, Art. 6 EMRK und Art. 4 des 7. Zusatzprotokolls; insbesondere die Garantie ne bis in idem, in: Daniel Thürer, EMRK: Neuere Entwicklungen, Zürich/ Basel/Genf 2005, S. 31 ff., 32 sowie BGE 122 I 257, E. 3). Der Be- schuldigte soll nicht zwei Mal in derselben Sache den Zwängen der Strafverfolgung ausgesetzt sein. 3. (...) 2009 Strafprozessrecht 59 4. 4.1. Voraussetzung für die Sperrwirkung des Grundsatzes "ne bis in idem" ist die Identität der Person und der Tat (BGE 122 I 257, E. 3). Im vorliegenden Fall stützten sich die Vorwürfe gegen die Beschul- digte bezüglich den SVG-Delikten und dem Tatbestand der fahrlässi- gen Körperverletzung auf denselben Lebenssachverhalt (Abbiegen ohne Betätigung des Blinkers, welches zur Kollision mit dem Fahr- zeug des Beschwerdeführers und schliesslich zu seiner Verletzung führte). Daraus folgert die Staatsanwaltschaft offenbar eine Tatidenti- tät hinsichtlich diesen Delikten. 4.2. Wie das Merkmal der Tatidentität zu verstehen ist, wird in Leh- re und Rechtsprechung allerdings kontrovers beurteilt. Im Wesentli- chen geht es dabei um die Frage, ob Tatidentität die Identität des Sachverhalts oder die Identität der anwendbaren Rechtsnormen be- deutet (Vgl. die "opinion dissidente" des Richters Repik im Ent- scheid des Europäischen Gerichtshofs für Menschenrechte (EGMR) vom 30. Juli 1998 i.S. Oliveira gegen die Schweiz). In der Diskus- sion um die Praxis des EGMR haben sich dazu die Stichworte "einfa- che" und "doppelte Identität" etabliert, wobei vereinfachend nach der These der "einfachen Identität" gleiche Lebenssachverhalte für eine Tatidentität ausreichen, während nach der These der "doppelten Iden- tität" zusätzlich auch die angewendeten Rechtsnormen identisch sein müssen (Vgl. Ackermann/Ebensperger a.a.O.; Ackermann a.a.O; Ent- scheid des Bundesgerichts vom 10. September 2003, 6P.51/2003, E. 10.1.). 4.3. Sowohl das Bundesgericht wie auch der EGMR haben sich in jüngeren Entscheiden für das Konzept der "doppelten Identität" ausgesprochen und zwar der EGMR in einem Verfahren gegen die Schweiz, welchem ein dem vorliegenden sehr ähnlicher Sachverhalt zugrunde lag. (...) 2009 Obergericht 60 4.4. Grosse Ähnlichkeiten zwischen dem vorliegenden Fall und dem Oliveira-Fall des EGMR sind unverkennbar. (...) Auch im vorliegenden Fall wäre es sicher wünschenswert ge- wesen, wenn das Bezirksamt Zofingen mit dem Ausfällen des Straf- befehls wegen der SVG-Delikte bis zur Rechtskraft der Einstellungs- verfügung betreffend fahrlässige Körperverletzung zugewartet hätte, so dass im nun eingetretenen Falle der Aufhebung der Einstellungs- verfügung eine Beurteilung der SVG-Delikte und des Vorwurfs der fahrlässigen Körperverletzung durch dieselbe Instanz hätte stattfin- den können. Fraglich ist, ob durch dieses nicht zweckgemässe Vorge- hen die Ahndung der möglichen fahrlässigen Körperverletzung un- möglich geworden ist, weil sie gegen das Verbot des "ne bis in idem" verstossen würde. 5. Das Bundesgericht hat in BGE 122 I 257 ebenfalls festgehalten, dass das Verbot des "ne bis in idem" für echt konkurrierende Tatbe- stände nicht gelte und sich damit wie der EGMR im Fall Oliveira für das Konzept der "doppelten Identität" ausgesprochen (E. 7 dieses Entscheides; bestätigt im Urteil vom 10. September 2003 6P.51/2003, E.10.6.). Das Bundesgericht hat in diesem Entscheid weiter ausgeführt, der Grundsatz "ne bis in idem" wäre verletzt, wenn der Beschuldigte strenger bestraft würde, weil die echt konkur- rierenden Delikte von verschiedenen Behörden statt von einer einzi- gen Behörde beurteilt würden. Dementsprechend müsste das Gericht auch im vorliegenden Fall, wenn es zu einer Verurteilung wegen fahrlässiger Körperverletzung käme, die Strafe in analoger Anwen- dung von Art. 49 Abs. 2 StGB so bemessen, dass die Beschuldigte nicht schwerer bestraft würde, als wenn die strafbaren Handlungen gleichzeitig beurteilt worden wären. 6. 6.1. Eine Anwendung des Grundsatzes "ne bis in idem" auf den vor- liegenden Fall würde aber nicht nur der jüngeren Rechtsprechung des EGMR und des Bundesgerichts, sondern auch dem Sinn und Zweck dieses Grundsatzes widersprechen. Der Grundsatz "ne bis in idem" 2009 Strafprozessrecht 61 will verhindern, dass eine Person für die selbe Straftat mehrmals (und damit insgesamt übermässig) bestraft oder mehrmals den (damit unverhältnismässigen) Belastungen der Strafverfolgung ausgesetzt ist. Zudem könnte man auch von einem Schutz des Vertrauens des Täters darin sprechen, dass die Tat mit der ein Mal ausgesprochenen Strafe gesühnt sein und der Staat seinen Strafanspruch damit ver- wirkt haben wird. 6.2. Im vorliegenden Fall sind bis zur Überweisung der Akten vom Bezirksamt Zofingen an die Staatsanwaltschaft mit dem Antrag auf Einstellung des Verfahrens betreffend fahrlässige Körperverletzung nicht zwei, sondern ein Untersuchungsverfahren geführt worden. Erst nach Abschluss der Untersuchung kam es zu einer Zweiteilung des Verfahrens insofern, als das Bezirksamt Zofingen den Strafbefehl wegen der SVG-Delikte und die Staatsanwaltschaft eine Einstel- lungsverfügung betreffend fahrlässige Körperverletzung erliessen, wobei letztere auf Beschwerde hin aufgehoben und die Staatsanwalt- schaft angewiesen wurde, Anklage zu erheben. Die Ausstellung des Strafbefehls war für die Beschuldigte mit keinen weiteren Untersu- chungshandlungen oder sonstigen Einschränkungen ihrer persönli- chen Freiheit verbunden, welche über die blosse Kenntnisnahme des Strafbefehls hinausgegangen wären. Damit kann nicht davon gespro- chen werden, dass die Beschuldigte durch die Gabelung des Ver- fahrens einer wesentlich erhöhten Belastung ausgesetzt worden wäre, welche als doppelte Strafverfolgung vom Grundsatz "ne bis in idem" erfasst würde. Wie der Beschwerdeführer geltend macht, ist die Si- tuation der Beschuldigten mit jener in einem Verfahren vergleichbar, in welchem der Beschuldigte die Verurteilung in einem Punkt akzep- tiert, so dass sie in diesem Punkt nach § 221 StPO rechtskräftig wird, in einem anderen Punkt aber mit einem Rechtsmittel anficht (nur, dass in einem solchen Falle der Beschuldigte selber die Zweiteilung herbeiführt, was im vorliegenden Verfahren nicht der Fall ist). 6.3. Im Übrigen konnte die Beschuldigte im vorliegenden Verfahren auch nicht darauf vertrauen, dass ihr Verhalten mit dem Strafbefehl des Bezirksamts Zofingen strafrechtlich vollständig beurteilt worden 2009 Obergericht 62 wäre. Die Einstellungsverfügung vom 18. Februar 2009 und der Strafbefehl vom 24. Februar 2009 wurden ihr mit derselben Gerichts- urkunde zugestellt (...). Es war damit für die Beschuldigte klar er- kennbar, dass mit dem Strafbefehl das Verfahren noch nicht abge- schlossen war, sondern betreffend der fahrlässigen Körperverletzung eine Einstellungsverfügung ergangen war, die mit einem Rechtsmit- tel angefochten werden konnte. [...]Die Beschuldigte wusste damit, dass eine Strafverfolgung wegen fahrlässiger Körperverletzung ge- gen sie geführt wurde und dass diese Strafverfolgung mit dem sich nur auf SVG-Delikte beziehenden Strafbefehl nicht abgeschlossen war. 6.4. (...) 6.5. Falls die Beschuldigte im vorliegenden Verfahren vom Gericht der fahrlässigen Körperverletzung für schuldig befunden wird, kann das Gericht die bereits erfolgte Verurteilung wegen den SVG-Delik- ten berücksichtigen und die Strafe so bemessen, dass sie nicht schwerer ausfällt, als wenn alle Delikte zusammen beurteilt worden wären. 6.6. Die Beschuldigte wird damit im vorliegenden Fall durch die (wenn auch nicht zweckmässige) Verfahrensführung nicht wesentlich mehr belastet, als wenn sämtliche Tatvorwürfe von derselben Instanz beurteilt worden wären. Ausserdem könnte eine allfällige zusätzliche Strafe so ausgefällt werden, dass die Beschuldigte durch den Verfah- rensgang keine Schlechterstellung erfährt. Damit würde die Anwen- dung des Grundsatzes "ne bis in idem" auf einen solchen Fall keinem legitimen Schutzbedürfnis der Beschuldigten dienen, weshalb er dem staatlichen Strafanspruch nicht entgegenstehen kann. 7. Wie der Beschwerdeführer zu Recht geltend macht, wäre eine Anwendung des Grundsatzes "ne bis in idem" auf den vorliegenden Fall auch mit seinen Rechten als Geschädigter aus dem Opferhilfege- setz schwer vereinbar. Gemäss Art. 37 Abs. 1 lit. b OHG kann das Opfer einer Straftat den Entscheid eines Gerichts verlangen, wenn 2009 Strafprozessrecht 63 das Verfahren nicht eingeleitet oder eingestellt wird. Von diesem Recht hat der Beschwerdeführer im vorliegenden Fall Gebrauch ge- macht, indem er die Einstellungsverfügung vom 18. Februar 2009 mit Beschwerde angefochten hat, wobei die Beschwerde mit Ent- scheid der Beschwerdekammer in Strafsachen vom 27. Mai 2009 gutgeheissen wurde. Der Beschwerdeführer konnte nicht davon aus- gehen, dass er zur Vermeidung einer Einstellung zusätzlich gegen den sich nur auf die SVG-Delikte beziehenden Strafbefehl vom 24. Februar 2009 hätte Einsprache erheben müssen, wie in der ange- fochtenen Einstellungsverfügung geltend gemacht wird. Mit dieser Einstellungsverfügung werden damit tatsächlich seine Rechte aus dem Opferhilfegesetz ausgehebelt. Im Übrigen ist es ohnehin zwei- felhaft, ob er zu einer Einsprache gegen den Strafbefehl überhaupt legitimiert gewesen wäre. Erstens ist seine Opferstellung in Bezug auf die abstrakten Gefährdungsdelikte des SVG nicht ohne weiteres gegeben, zweitens bezieht sich Art. 37 Abs. 1 lit. b OHG nur auf Verfahren, die nicht eingeleitet oder eingestellt werden, während der Strafbefehl vom 24. Februar 2009 einzig eine Verurteilung enthält, und drittens sieht § 197 Abs. 1 StPO eine Einsprachelegitimation des Geschädigten nur vor, soweit privatrechtliche Ansprüche geltend gemacht werden, was der Beschwerdeführer im vorliegenden Ver- fahren nicht getan hat. Auch das Opferhilfegesetz steht der Anwen- dung des Grundsatzes "ne bis in idem" auf den vorliegenden Fall damit klar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