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20 vom 2. Mai 2008</w:t>
      </w:r>
    </w:p>
    <w:p>
      <w:r>
        <w:t>AG Gerichte, 2008-05-02, DE</w:t>
      </w:r>
    </w:p>
    <w:p>
      <w:r>
        <w:rPr>
          <w:b/>
        </w:rPr>
        <w:t xml:space="preserve">Quelle: </w:t>
      </w:r>
      <w:r>
        <w:t>https://mcp.opencaselaw.ch/entscheid/ag_gerichte_AGVE_2008_20</w:t>
      </w:r>
    </w:p>
    <w:p>
      <w:r>
        <w:t>FR: AG_GERICHTE AGVE 2008 20 du 2 mai 2008</w:t>
      </w:r>
    </w:p>
    <w:p>
      <w:r>
        <w:t>IT: AG_GERICHTE AGVE 2008 20 del 2 maggio 2008</w:t>
      </w:r>
    </w:p>
    <w:p>
      <w:pPr>
        <w:pStyle w:val="Heading2"/>
      </w:pPr>
      <w:r>
        <w:t>Regeste</w:t>
      </w:r>
    </w:p>
    <w:p>
      <w:r>
        <w:t>20 Steuerumgehung; Verkauf einer Diskontobligation ohne überwiegendeEinmalverzinsung.die entsprechenden gesetzlichen Bestimmungen bzw. Merkblättervertrauen (Erw. 3).an die Bank stellt vorliegend eine Steuerumgehung dar (Erw. 4).</w:t>
      </w:r>
    </w:p>
    <w:p>
      <w:pPr>
        <w:pStyle w:val="Heading2"/>
      </w:pPr>
      <w:r>
        <w:t>Erwägungen</w:t>
      </w:r>
    </w:p>
    <w:p>
      <w:r>
        <w:rPr>
          <w:b/>
        </w:rPr>
        <w:t>E. 4.1</w:t>
      </w:r>
    </w:p>
    <w:p>
      <w:r>
        <w:t>Stehen dem Steuerpflichtigen mehrere rechtliche Gestaltungs- möglichkeiten zur Verfügung, so darf er im Rahmen der erlaubten Steuerplanung diejenige wählen, welche die geringste Steuerbe- lastung zur Folge hat. Wird dabei jedoch der Bogen überspannt und nur um der Steuerersparnis willen ein allzu ausgefallener Sachverhalt konstruiert, der an sich die Voraussetzungen der Steuerbarkeit nicht erfüllt, wirtschaftlich indessen mit dem steuerbaren identisch ist, so gilt die Reizschwelle zwischen zulässiger und unzulässiger Steuerer- sparnis als überschritten (Plüss/Schade/Walther in: StG-Kommentar, Vorbemerkungen zu §§ 172-200 N 15 ff.; Ernst Blumenstein/Peter Locher, System des Schweizerischen Steuerrechts, 6. Auflage, Zürich 2002, S. 31 ff.; Ernst Höhn/Robert Waldburger, Steuerrecht, Band I,</w:t>
      </w:r>
    </w:p>
    <w:p>
      <w:r>
        <w:rPr>
          <w:b/>
        </w:rPr>
        <w:t>E. 4.2.1</w:t>
      </w:r>
    </w:p>
    <w:p>
      <w:r>
        <w:t>Die Beschwerdeführer bringen vor, dass der mit Valuta vom 5. Juni 2001 getätigte Börsenverkauf weder ungewöhnlich noch sachwidrig noch absonderlich sei. Der Handel an der Börse ent- spreche einem alltäglichen Massengeschäft mit zahllosen Beteiligten und hohen Umsätzen. Etwas Alltägliches könne nicht für absonder- lich erklärt werden.</w:t>
      </w:r>
    </w:p>
    <w:p>
      <w:r>
        <w:rPr>
          <w:b/>
        </w:rPr>
        <w:t>E. 4.2.2</w:t>
      </w:r>
    </w:p>
    <w:p>
      <w:r>
        <w:t>Demgegenüber führen die Vorinstanz und die ESTV vor allem Renditeüberlegungen an, um die Absonderlichkeit des Verkaufes der Diskontobligation ohne überwiegende Einmalverzinsung kurz vor deren Verfallsdatum zu begründen. Für einen Renditevergleich seien die durch die Veräusserung angefallenen Kosten mit dem auf 8 Tage 2008 Verwaltungsgericht 96 entfallenden Einmalzinsanteil zu vergleichen. Kosten von (über 500.--) stünden einem Zinsanteil von (rund 40.--) gegenüber.</w:t>
      </w:r>
    </w:p>
    <w:p>
      <w:r>
        <w:rPr>
          <w:b/>
        </w:rPr>
        <w:t>E. 4.3</w:t>
      </w:r>
    </w:p>
    <w:p>
      <w:r>
        <w:t>Die Veräusserung einer Diskontobligation ohne überwiegende Einmalverzinsung während der Laufzeit ist an sich nicht ungewöhn- lich. Hingegen besteht ein Zeitpunkt, ab dem es sich für eine Privat- person nicht mehr lohnt, eine solche Diskontobligation zu erwerben: Übersteigen die Kosten, bestehend aus dem aktuellen Kurswert der Obligation, den Marchzinsen, den Transaktionskosten sowie den all- fälligen Steuern, den bei der Rückzahlung zu erwartenden Betrag (Nennwert der Obligation plus der periodische Zinsanteil), so ist der Erwerb einer Diskontobligation wirtschaftlich nicht mehr sinnvoll. In diesem Fall könnten die Inhaber die Obligation nicht mehr verkaufen und hätten die Rückzahlung abzuwarten und dann auch den Einmal- zinsanteil zu versteuern. Wie bereits erwähnt, lohnt sich für Banken der Erwerb einer Diskontobligation ohne überwiegenden Einmal- zinsanteil bis zu deren Verfall (siehe vorne Erw. 3.2). Damit steht Privatpersonen - wie vorliegend den Beschwerdeführern - die Mög- lichkeit offen, eine Diskontobligation ohne überwiegende Einmal- verzinsung bis kurz vor deren Verfall den Banken zu übertragen, was letztendlich auf eine Steuerbefreiung der Einmalzinskomponente hinausläuft, vom Gesetzgeber aber nicht gewollt ist. In gleicher Weise, wie unter bestimmten Voraussetzungen der Erwerb einer Diskontobligation wirtschaftlich nicht mehr sinnvoll ist, trifft dies für die Veräusserung zu, nämlich dann, wenn der Erlös, unter Berücksichtigung der Transaktionskosten, klar geringer ist als was bei der Rückzahlung der Obligation eingenommen würde, und der frühere Zahlungstermin die Einnahmenverringerung nicht auf- zuwiegen vermag. Vorliegend veräusserten die Beschwerdeführer die fragliche Obligation acht Tage vor deren Verfall. Damit waren Kosten von (rund 500.--) sowie entgangener Zins von (rund 100.-- [periodi- scher Zinsanteil: rund 64.--; Einmalzinsanteil: rund 40.--]) verbunden. In Übereinstimmung mit der Vorinstanz ist daher davon auszugehen, dass die Beschwerdeführer die Mindereinnahme, vergli- chen mit der Rückzahlung der Obligation, wie sie wenige Tage später 2008 Kantonale Steuern 97 erfolgt wäre, nur in Kauf genommen haben, um Steuern einzusparen, zumal sie nicht geltend machen, das Geld aus dem Verkauf der Obli- gation sofort und unausweichlich benötigt zu haben. Mit ihrem Vorgehen erzielten die Beschwerdeführer möglichst lange, nämlich bis unmittelbar vor dem Rückzahlungstermin, Zins- einnahmen (periodischer Zins und Einmalzinsanteil). In diesem Fall haben sie jedoch auch die damit verbundenen steuerlichen Konse- quenzen, insbesondere die Versteuerung des Einmalzinses, zu tragen. Dabei ist nicht der Vergleich zwischen den Transaktionskosten und dem hypothetischen Zinsertrag für die Restlaufzeit, wie ihn die Vor- instanz vornahm, als ausschlaggebendes Kriterium für eine Steuer- umgehung heranzuziehen. Beide Beträge bedeuten letztendlich einen Verlust für die Beschwerdeführer (Schaden oder entgangener Ge- winn). Ausschlaggebend sind vielmehr die Mindereinnahme beim Verkauf im Vergleich zur Rückzahlung einerseits und die Zeitspanne zwischen diesen beiden Vorgängen. Je weiter weg vom Verfalldatum die Diskontobligation ohne überwiegende Einmalverzinsung ver- kauft wird, desto geringer ist die Mindereinnahme und desto eher spielen dabei wirtschaftliche Gründe eine Rolle. Je näher zeitlich der Verkauf beim Verfall der Obligation liegt, desto mehr treten Steuer- umgehungsabsichten in den Vordergrund. Acht Tage vor dem Verfall der Obligation war die Veräusserung im vorliegenden Fall wirtschaft- lich völlig sinnlos und nur mit der beabsichtigten Vermeidung der erst bei Rückzahlung der Obligation anfallenden Steuern auf dem Einmalzins erklärbar. Im "Normalfall" wäre die Diskontobligation gar nicht mehr zum Kurswert verkäuflich gewesen und die Beschwerdeführer hätten eine Einbusse beim Verkaufspreis in Kauf nehmen müssen oder die Ein- malzinskomponente der Obligation ohnehin zu versteuern gehabt. Dass nun mit dem Erwerb durch die Bank eine Hintertür zur Be- freiung der Einmalzinskomponente von der Steuerlast geöffnet wur- de, ist vom Gesetzgeber nicht beabsichtigt und darf nicht dazu füh- ren, dass die Beschwerdeführer eine höhere Rendite erzielen, ohne die Konsequenzen bei der Berechnung ihrer Einkommenssteuer tra- gen zu müssen. Unter diesen Umständen kann somit nicht mehr von einem normalen Börsengeschäft gesprochen werden, sondern die 2008 Verwaltungsgericht 98 Beschwerdeführer wählten, nur um Steuern zu sparen, ein im Übri- gen wirtschaftlich unsinniges Vorgehen.</w:t>
      </w:r>
    </w:p>
    <w:p>
      <w:r>
        <w:rPr>
          <w:b/>
        </w:rPr>
        <w:t>E. 4.4</w:t>
      </w:r>
    </w:p>
    <w:p>
      <w:r>
        <w:t>Im Endergebnis war die Veräusserung der Diskontobligation oh- ne überwiegende Einmalverzinsung kurz vor deren Verfall aus wirt- schaftlicher Hinsicht, die fiskalischen Folgen ausgeklammert, völlig absonderlich. Andere Motive als die der Steuerersparnis sind für die von den Beschwerdeführern gewählte Rechtsgestaltung nicht ersicht- lich. Somit ist auch der Nachweis an die Steuerumgehungsabsicht er- bracht. Dass die Beschwerdeführer durch ihr Vorgehen zu einer tat- sächlichen Steuerersparnis gelangten, ist offensichtlich und wird von ihnen auch nicht bestritten.</w:t>
      </w:r>
    </w:p>
    <w:p>
      <w:r>
        <w:rPr>
          <w:b/>
        </w:rPr>
        <w:t>E. 9</w:t>
      </w:r>
    </w:p>
    <w:p>
      <w:r>
        <w:t>Auflage, Bern/Stuttgart/Wien 2001, § 5 N 73 ff.). Nach der bundesgerichtlichen Rechtsprechung liegt eine Steuer- umgehung vor, wenn die von den Beteiligten gewählte Rechtsgestal- tung ungewöhnlich (), sachwidrig oder absonderlich, jeden- falls der wirtschaftlichen Gegebenheit völlig unangemessen er- scheint; wenn anzunehmen ist, dass diese Wahl missbräuchlich und lediglich deshalb getroffen worden ist, um Steuern einzusparen, wel- che bei sachgemässer Ordnung der Verhältnisse geschuldet wären; 2008 Kantonale Steuern 95 letztendlich wenn das gewählte Vorgehen tatsächlich zu einer erheb- lichen Steuerersparnis führen würde. Sind diese Voraussetzungen er- füllt, so wird der Besteuerung auch dann, wenn die gewählte Rechts- form unter dem Gesichtspunkt des Zivilrechts als gültig und wirksam erscheint, nicht diese Gestaltung zugrunde gelegt, sondern die Ord- nung, welche der sachgemässe Ausdruck des von den Beteiligten er- strebten wirtschaftlichen Zweckes gewesen wäre (BGE 131 II 627 Erw. 5.; StE 2001, A 12 Nr. 10 und 11). Das Vorliegen einer Steuer- umgehung ergibt sich somit aus drei Elementen, einem objektiven Element, der Ungewöhnlichkeit, einem subjektiven Element, der Ab- sicht der Einsparung, und einem effektiven Element, der Einsparung (AGVE 1996, S. 243). Die Beweislast für das Vorliegen sämtlicher objektiver und subjektiver Voraussetzungen der Steuerumgehung tragen grundsätz- lich die Steuerbehörden. An den Nachweis der Umgehungsabsicht sind allerdings keine allzu strengen Anforderungen zu stellen. Der Nachweis der Umgehungsabsicht gilt als erbracht, wenn für die von der steuerpflichtigen Person getroffene ungewöhnliche, sachwidrige oder absonderliche Rechtswahl keine anderen Motive als dasjenige der Steuerersparnis erkennbar sind. Dem Steuerpflichtigen steht der Gegenbeweis offen, dass die eine oder andere Voraussetzung nicht gegeben ist (AGVE 1996, S. 243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