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21 vom 2. Mai 2007</w:t>
      </w:r>
    </w:p>
    <w:p>
      <w:r>
        <w:t>AG Gerichte, 2007-05-02, DE</w:t>
      </w:r>
    </w:p>
    <w:p>
      <w:r>
        <w:rPr>
          <w:b/>
        </w:rPr>
        <w:t xml:space="preserve">Quelle: </w:t>
      </w:r>
      <w:r>
        <w:t>https://mcp.opencaselaw.ch/entscheid/ag_gerichte_AGVE_2007_21</w:t>
      </w:r>
    </w:p>
    <w:p>
      <w:r>
        <w:t>FR: AG_GERICHTE AGVE 2007 21 du 2 mai 2007</w:t>
      </w:r>
    </w:p>
    <w:p>
      <w:r>
        <w:t>IT: AG_GERICHTE AGVE 2007 21 del 2 maggio 2007</w:t>
      </w:r>
    </w:p>
    <w:p>
      <w:pPr>
        <w:pStyle w:val="Heading2"/>
      </w:pPr>
      <w:r>
        <w:t>Regeste</w:t>
      </w:r>
    </w:p>
    <w:p>
      <w:r>
        <w:t>21 Selbstständige Erwerbstätigkeit.Erwerbstätigkeit kann ausnahmsweise selbst bei einer einzigenWertschriftentransaktion vorliegen.</w:t>
      </w:r>
    </w:p>
    <w:p>
      <w:pPr>
        <w:pStyle w:val="Heading2"/>
      </w:pPr>
      <w:r>
        <w:t>Volltext</w:t>
      </w:r>
    </w:p>
    <w:p>
      <w:r>
        <w:t>Aargau Obergericht Verwaltungsgericht 02.05.2007 AGVE 2007 21</w:t>
      </w:r>
    </w:p>
    <w:p>
      <w:r>
        <w:t>21 Selbstständige Erwerbstätigkeit.Erwerbstätigkeit kann ausnahmsweise selbst bei einer einzigenWertschriftentransaktion vorliegen.</w:t>
      </w:r>
    </w:p>
    <w:p>
      <w:r>
        <w:t>AGVE 2007 21 S.83 2007 Kantonale Steuern 83 [...] 21 Selbstständige Erwerbstätigkeit. - Gewerbsmässiger Wertschriftenhandel als selbstständige (Neben-) Erwerbstätigkeit kann ausnahmsweise selbst bei einer einzigen Wertschriftentransaktion vorliegen. Entscheid des Verwaltungsgerichts, 2. Kammer, vom 9. Mai 2007 in Sachen Gemeinderat X. gegen Steuerrekursgericht und M.A. (WBE.2006.47). Zur Publikation vorgesehen in StE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