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20 vom 2. August 2007</w:t>
      </w:r>
    </w:p>
    <w:p>
      <w:r>
        <w:t>AG Gerichte, 2007-08-02, DE</w:t>
      </w:r>
    </w:p>
    <w:p>
      <w:r>
        <w:rPr>
          <w:b/>
        </w:rPr>
        <w:t xml:space="preserve">Quelle: </w:t>
      </w:r>
      <w:r>
        <w:t>https://mcp.opencaselaw.ch/entscheid/ag_gerichte_AGVE_2007_20</w:t>
      </w:r>
    </w:p>
    <w:p>
      <w:r>
        <w:t>FR: AG_GERICHTE AGVE 2007 20 du 2 août 2007</w:t>
      </w:r>
    </w:p>
    <w:p>
      <w:r>
        <w:t>IT: AG_GERICHTE AGVE 2007 20 del 2 agosto 2007</w:t>
      </w:r>
    </w:p>
    <w:p>
      <w:pPr>
        <w:pStyle w:val="Heading2"/>
      </w:pPr>
      <w:r>
        <w:t>Regeste</w:t>
      </w:r>
    </w:p>
    <w:p>
      <w:r>
        <w:t>20 Ausserordentliche Einkünfte (§ 263 Abs. 2 StG).serordentliche Einkünfte ist die Aussergewöhnlichkeit der Dividende,nicht deren Besteuerungswürdigkeit (Erw. 3).noch gar keine klare Dividendenpolitik haben konnte: Berücksichtigung der Dividendenpolitik der folgenden (mindestens) zwei Geschäftsjahre...</w:t>
      </w:r>
    </w:p>
    <w:p>
      <w:pPr>
        <w:pStyle w:val="Heading2"/>
      </w:pPr>
      <w:r>
        <w:t>Erwägungen</w:t>
      </w:r>
    </w:p>
    <w:p>
      <w:r>
        <w:rPr>
          <w:b/>
        </w:rPr>
        <w:t>E. 4</w:t>
      </w:r>
    </w:p>
    <w:p>
      <w:r>
        <w:t>Dass vom Ergebnis des ersten Geschäftsjahres Fr. 50'000.-- den Reserven zugewiesen und die restlichen rund Fr. 45'000.-- auf die neue Rechnung vorgetragen wurden, ist nicht auffällig. Am An- fang der Geschäftstätigkeit gewisse Reserven anzulegen, entspricht solider Geschäftspolitik. Im zweiten Geschäftsjahr war der Gewinn so minim, dass seine Verwendung nichts aussagt, doch in den fol- genden drei Geschäftsjahren wurde jeweils ein grosser Teil des Er- gebnisses als Dividende ausgeschüttet, der Rest auf die neue Rech- nung vorgetragen; die etwas unterschiedlichen Prozentzahlen sind auf die runden Beträge für die Ausschüttung zurückzuführen. In die- sem Zeitraum wurde eine Dividendenpolitik begründet, die konstant erscheint und der auch sonst nichts Auffälliges anhaftet (dies gilt insbesondere bei einem Kleinbetrieb, der trotz der äusseren Form ei- ner AG eigentlich das Geschäft des einen bzw. der wenigen Inhaber darstellt). Erst im Geschäftsjahr 2001/02 wurde davon abgewichen und trotz rund Fr. 200'000.-- Gewinn auf die Ausschüttung einer Di- vidende verzichtet. Die dafür gegebene Begründung bevorstehender grösserer Investitionen im Zusammenhang mit ..., ist nicht unglaub- würdig, sodass nicht von einem "Bruch" in der Dividendenpolitik ge- sprochen werden kann. Jedenfalls behielt die S AG die im Bemes- sungslückenjahr 2000 begonnene Ausschüttung des Grossteils des erzielten Gewinns auch in den zwei Jahren nach der Bemessungs- lücke und damit innerhalb des Zeitraumes bei, der auf jeden Fall ge- geben sein muss, um verlässlich prüfen zu können, ob von einer Konstanz in der Dividendenpolitik auszugehen ist. Da keine anderen Argumente ersichtlich sind, welche die im Jahr 2000 erfolgte Ausschüttung als ausserordentlich erscheinen las- sen, erweist sich die Erfassung mit einer gesonderten Jahressteuer als 2007 Kantonale Steuern 83 unzulässig. Dies führt zur vollumfänglichen Gutheissung der Be- 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