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19 vom 2. März 2007</w:t>
      </w:r>
    </w:p>
    <w:p>
      <w:r>
        <w:t>AG Gerichte, 2007-03-02, DE</w:t>
      </w:r>
    </w:p>
    <w:p>
      <w:r>
        <w:rPr>
          <w:b/>
        </w:rPr>
        <w:t xml:space="preserve">Quelle: </w:t>
      </w:r>
      <w:r>
        <w:t>https://mcp.opencaselaw.ch/entscheid/ag_gerichte_AGVE_2007_19</w:t>
      </w:r>
    </w:p>
    <w:p>
      <w:r>
        <w:t>FR: AG_GERICHTE AGVE 2007 19 du 2 mars 2007</w:t>
      </w:r>
    </w:p>
    <w:p>
      <w:r>
        <w:t>IT: AG_GERICHTE AGVE 2007 19 del 2 marzo 2007</w:t>
      </w:r>
    </w:p>
    <w:p>
      <w:pPr>
        <w:pStyle w:val="Heading2"/>
      </w:pPr>
      <w:r>
        <w:t>Regeste</w:t>
      </w:r>
    </w:p>
    <w:p>
      <w:r>
        <w:t>II. Kantonale Steuern19 Steuerbare Nebeneinkünfte.Einkommen dar, wenn sie nicht von der Arbeitgeberfirma, sondernvon deren Alleinaktionär stammen, aber in einem unmittelbarenwirtschaftlichen Zusammenhang mit dem Arbeitsverhältnis stehen.</w:t>
      </w:r>
    </w:p>
    <w:p>
      <w:pPr>
        <w:pStyle w:val="Heading2"/>
      </w:pPr>
      <w:r>
        <w:t>Erwägungen</w:t>
      </w:r>
    </w:p>
    <w:p>
      <w:r>
        <w:rPr>
          <w:b/>
        </w:rPr>
        <w:t>E. 2</w:t>
      </w:r>
    </w:p>
    <w:p>
      <w:r>
        <w:t>Im vorliegenden Fall war der Beschwerdegegner seit 1990 Geschäftsführer und Delegierter des Verwaltungsrats der X. AG. Mitte 2000, als er vom Alleinaktionär S. das Aktienpaket erhielt, "war - unausgesprochen - klar, dass in ein paar Jahren eine Nachfol- geregelung realisiert werden musste"; dies schloss die Möglichkeit eines Verkaufs der Gesellschaft zumindest mit ein; tatsächlich stand ein solcher im Vordergrund. Der Alleinaktionär konnte damit den Beschwerdegegner, der massgeblich zum Geschäftserfolg beigetra- gen hatte, in dieser wichtigen Phase weiterhin an das Geschäft bin- den, was für den Geschäftsgang im Hinblick auf Verkaufsverhand- lungen wichtig war; zudem mochte die Geste dazu dienen, sich die Loyalität des Beschwerdegegners zu sichern, für den sonst ein hoher Verkaufspreis für die Aktien viel weniger wichtig gewesen wäre als die Möglichkeit, in seiner gut bezahlten Stellung bei der X. AG zu bleiben, und auch die zukünftige Tätigkeit des Beschwerdegegners (positiv) zu beeinflussen. Obwohl somit auch persönliche Interessen des Alleinaktionärs erkennbar sind, ist der Bezug zur Firma doch sehr eng, zumal die erwähnten Interessen des Alleinaktionärs die er- folgreiche Weiterarbeit des Beschwerdegegners in der Firma zum In- halt hatten und ausserdem eine besondere Anerkennung für die bis- her geleisteten Dienste in dieser Situation ebenfalls nahe lag (nach den Aussagen des Beschwerdegegners war seine Beteiligung an der Firma schon seit längerer Zeit vorgesehen; ob dafür der übliche Weg einer Mitarbeiterbeteiligung durch die X. AG selber für S. steuerlich günstiger gekommen wäre, wie die Beschwerdegegner geltend ma- chen, kann keine Rolle spielen). Auch wenn der Fall für die Abgren- zung zwischen Einkommens- und Schenkungssteuer nicht ganz ein- deutig liegen mag, ist für das Verwaltungsgericht der Konnex zur Tätigkeit (auch der künftigen) des Beschwerdegegners für seine Ar- beitgeberfirma X. AG eng genug, um den Verkauf von Aktien zum 2007 Verwaltungsgericht 78 Vorzugspreis als steuerbare Nebenleistung im Sinne von § 22 Abs. 1 lit. a aStG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