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86 vom 15. Juni 2005</w:t>
      </w:r>
    </w:p>
    <w:p>
      <w:r>
        <w:t>AG Gerichte, 2005-06-15, DE</w:t>
      </w:r>
    </w:p>
    <w:p>
      <w:r>
        <w:rPr>
          <w:b/>
        </w:rPr>
        <w:t xml:space="preserve">Quelle: </w:t>
      </w:r>
      <w:r>
        <w:t>https://mcp.opencaselaw.ch/entscheid/ag_gerichte_AGVE_2005_86</w:t>
      </w:r>
    </w:p>
    <w:p>
      <w:r>
        <w:t>FR: AG_GERICHTE AGVE 2005 86 du 15 juin 2005</w:t>
      </w:r>
    </w:p>
    <w:p>
      <w:r>
        <w:t>IT: AG_GERICHTE AGVE 2005 86 del 15 giugno 2005</w:t>
      </w:r>
    </w:p>
    <w:p>
      <w:pPr>
        <w:pStyle w:val="Heading2"/>
      </w:pPr>
      <w:r>
        <w:t>Regeste</w:t>
      </w:r>
    </w:p>
    <w:p>
      <w:r>
        <w:t>I. Direktzahlungen86 Sanktionsschemadar; Voraussetzung der Anwendbarkeit einer Änderung während deslaufenden Beitragsjahres.</w:t>
      </w:r>
    </w:p>
    <w:p>
      <w:pPr>
        <w:pStyle w:val="Heading2"/>
      </w:pPr>
      <w:r>
        <w:t>Volltext</w:t>
      </w:r>
    </w:p>
    <w:p>
      <w:r>
        <w:t>Aargau Landwirtschaftliche Rekurskommission 15.06.2005 AGVE 2005 86 Argovie Landwirtschaftliche Rekurskommission 15.06.2005 AGVE 2005 86 Argovia Landwirtschaftliche Rekurskommission 15.06.2005 AGVE 2005 86</w:t>
      </w:r>
    </w:p>
    <w:p>
      <w:r>
        <w:t>I. Direktzahlungen86 Sanktionsschemadar; Voraussetzung der Anwendbarkeit einer Änderung während deslaufenden Beitragsjahres.</w:t>
      </w:r>
    </w:p>
    <w:p>
      <w:r>
        <w:t>AGVE 2005 86 S.399 2005 Direktzahlungen 399 I. Direktzahlungen 86 Sanktionsschema - Eine Änderung des Sanktionsschemas stellt eine Praxisänderung dar; Voraussetzung der Anwendbarkeit einer Änderung während des laufenden Beitragsjahres. Aus einem Entscheid der Landwirtschaftlichen Rekurskommission vom 15. Juni 2005 in Sachen M. gegen Finanzdepartement (Abteilung Landwirt- schaft) Aus den Erwägungen 2.3.2.2. (...) Die Verbindlichkeitserklärung des neuen Sank- tionsschemas erfolgte am 19. Dezember 2001, also während des lau- fenden Beitragsjahres. Rechtlich gesehen handelt es sich bei der Änderung des Sanktionsschemas indes bloss um eine Praxisände- rung. Nach der Rechtsprechung ist eine bisherige Praxis zu ändern, wenn die Verwaltung sie als unrichtig erkannt hat oder wenn sie de- ren Verschärfung wegen veränderter Verhältnisse oder zufolge zunehmender Missbräuche für zweckmässig hält (Bundesgerichtsent- scheid [BGE] 101 Ib 370 Erw. 6; BGE 91 I 218 oben; vgl. auch BGE 108 Ia 124 Erw. 1; BGE 102 Ib 46 f.). Aufgrund nachstehender Erw. (...) ist dies vorliegend betreffend Verschärfung der Sanktionen bei wiederholten Tierschutzverletzungen der Fall. Dabei ist eine neue Praxis im Grundsatz sofort und überall anzuwenden (BGE 108 Ia 124 Erw. 1; BGE 108 V 1 Erw. 2a; BGE 102 Ib 47 oben). Ei- ner vorgängigen Bekanntmachung der Praxisänderung bedarf es nur, wenn sie Fragen der Zulässigkeit einer Klage oder eines Rechtsmit- tels betrifft oder den Verlust eines Rechts bewirkt (BGE 106 Ia 92 Erw. 2; BGE 104 Ia 3 Erw. 4; BGE 101 Ia 371 f. Erw. 2), insbeson- dere die Aufhebung bisher gewährter Leistungen (BGE 101 V 75; 2005 Landwirtschaftliche Rekurskommission 400 BGE 99 V 148) (BGE 111 V 170). Die Einführung der neuen Rege- lung betreffend drittmaliger Vorschriftsverletzung bewirkt eine gänzliche Streichung der Direktzahlungen gegenüber der bisherigen blossen Direktzahlungskürzung nach altem Sanktionsschema. Es ist fraglich, ob es sich bei dieser eine Totalstreichung bewirkenden Ver- schärfung der Direktzahlungssanktion um einen in obiger Rechtspre- chung erwähnten Verlust eines vor der Praxisänderung bestehenden Rechts handelt (die erwähnten Bundesgerichtsentscheide betreffen nebst prozessualen Rechten Leistungen aufgrund des Sozialversiche- rungsrechts). In casu kann dies aber offen gelassen werden, da die Vorinstanz den Beschwerdeführer im Schreiben vom 19. Dezember 2001 darauf hingewiesen hatte, dass bei Nichteinhaltung der Auslaufvorschriften im Beitragsjahr 2002 die Direktzahlungen in noch grösserem Mass gefährdet seien als die Jahre zuvor (...). Somit war der Beschwerdeführer vor dem mit der Kontrolle vom 6. Februar 2002 überprüften Zeitraum über eine Verschärfung der Sanktion orientiert.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