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2002 4 vom 3. Juli 2002</w:t>
      </w:r>
    </w:p>
    <w:p>
      <w:r>
        <w:t>AG Gerichte, 2002-07-03, DE</w:t>
      </w:r>
    </w:p>
    <w:p>
      <w:r>
        <w:rPr>
          <w:b/>
        </w:rPr>
        <w:t xml:space="preserve">Quelle: </w:t>
      </w:r>
      <w:r>
        <w:t>https://mcp.opencaselaw.ch/entscheid/ag_gerichte_AGVE_2002_4</w:t>
      </w:r>
    </w:p>
    <w:p>
      <w:r>
        <w:t>FR: AG_GERICHTE AGVE 2002 4 du 3 juillet 2002</w:t>
      </w:r>
    </w:p>
    <w:p>
      <w:r>
        <w:t>IT: AG_GERICHTE AGVE 2002 4 del 3 luglio 2002</w:t>
      </w:r>
    </w:p>
    <w:p>
      <w:pPr>
        <w:pStyle w:val="Heading2"/>
      </w:pPr>
      <w:r>
        <w:t>Regeste</w:t>
      </w:r>
    </w:p>
    <w:p>
      <w:r>
        <w:t>C. Erbrecht4 Art. 517 ZGB; WillensvollstreckerDem Willenvollstrecker kann auch eine Erbbescheinigung als Legitimationsurkunde dienen. Wird die Willensvollstreckerstellung bestritten, istein entsprechender Hinweis aufzunehmen. Die ausstellende Behörde hatkeine Kognitionsbefugnis, ob die Ernennung des...</w:t>
      </w:r>
    </w:p>
    <w:p>
      <w:pPr>
        <w:pStyle w:val="Heading2"/>
      </w:pPr>
      <w:r>
        <w:t>Erwägungen</w:t>
      </w:r>
    </w:p>
    <w:p>
      <w:r>
        <w:rPr>
          <w:b/>
        </w:rPr>
        <w:t>E. 3</w:t>
      </w:r>
    </w:p>
    <w:p>
      <w:r>
        <w:t>a) Im Erbfall ist dem Willensvollstrecker seine Ernennung von Amtes wegen mitzuteilen. Dieser hat sich binnen 14 Tagen, von der Mitteilung an gerechnet, über die Annahme des Auftrages zu erklären, wobei sein Stillschweigen als Annahme gilt (Art. 517 Abs. 2 ZGB). Die behördliche Mitteilung ist nicht konstitutiv, da die Ernennung bereits durch die Verfügung von Todes wegen erfolgt. Die 2002 Obergericht/Handelsgericht 34 behördliche Mitteilung setzt lediglich das ordentliche Annahmever- fahren in Gang (Karrer, Basler Kommentar, Basel 1996, N 14 zu Art. 517 ZGB). Die handelnde Behörde hat dabei keine Kog- nitionsbefugnis, ob die Einsetzung des Willensvollstreckers rechts- gültig ist oder nicht. Die Mitteilung hat daher auch dann zu erfolgen, wenn die Behörde die letztwillige Verfügung als ungültig oder an- fechtbar erachtet oder wenn mehrere Verfügungen vorliegen und in einer jüngeren die frühere Ernennung eines Willensvollstreckers wi- derrufen wird (Karrer, a.a.O., N 11 zu Art. 517 ZGB mit Hinweis auf BGE 74 I 423 ff. und 91 II 177 ff.). Die Behörde darf daher auch nicht prüfen, welche von mehreren Verfügungen rechtsgültig ist, wenn der Erblasser nacheinander oder gleichzeitig mehrere Willensvollstrecker eingesetzt hat; dies ist Sache des ordentlichen Richters. Sie hat vielmehr allen eingesetzten Willensvollstreckern von deren Ernennung Mitteilung zu machen. Die Vorinstanz hat da- her zu Recht sowohl L. als auch den Beschwerdeführer auf ihre Ernennung hingewiesen. b) Der eingesetzte Willensvollstrecker hat Anspruch auf ein Willensvollstreckerzeugnis, d.h. auf eine behördliche Legitimations- urkunde über seine Stellung. Das Willensvollstreckerzeugnis hat nur deklaratorischen Charakter und dient dem Willensvollstrecker zum Beweis für seine Ernennung und seine Annahme (Karrer, a.a.O., N 18 zu Art. 517 ZGB). Wird die Willensvollstreckung bestritten, so ist die Bescheinigung nicht vorbehaltlos auszustellen. Es sind darin vielmehr die bestrittenen Punkte zu vermerken, damit der Ausweis Dritten nicht eine unumstrittene und rechtskräftige Willensvoll- streckerstellung vortäuscht (Karrer, a.a.O., N 19 zu Art. 517 ZGB mit Hinweis auf BGE 91 II 177 ff.; Piotet, Erbrecht, in: SPR IV/1, Basel 1978, S. 158; Wetzel, Interessenskonflikte des Willensvollstreckers, Zürich 1985, N 120 f.). Dies hat zur Folge, dass sich die Aufgabe des (bestrittenen) Willensvollstreckers auf sichernde und sonstige zur or- dentlichen Verwaltung gehörende Massnahmen beschränkt (Wetzel, a.a.O., N 120 f.; Studer, Beginn, Abwicklung und Beendigung des Willensvollstreckermandats, in: Druey/Breitschmid [Hrsg.], Willens- vollstreckung, Bern/Stuttgart/Wien 2001, S. 73). 2002 Zivilrecht 35 Neben dem Willensvollstreckerausweis kann dem Willensvoll- strecker auch die Erbbescheinigung nach Art. 559 ZGB zur Legiti- mation dienen, da diese notwendigerweise die Willensvollstreckung und den Namen des Willensvollstreckers enthalten muss (Karrer, a.a.O., N 20 zu Art. 517 ZGB). Wie das Willensvollstreckerzeugnis hat auch die Erbbescheinigung bei bestrittener Stellung des Willens- vollstreckers einen entsprechenden Hinweis zu enthalten. c) In der - in der Erbgangsurkunde integrierten - Erbbescheini- gung vom 20. März 2002 hielt das Gerichtspräsidium B. fest, dass als Willensvollstrecker Notar L. designiert wurde und dieser sein Amt stillschweigend angenommen habe. Den Beschwerdeführer erwähnt die Erbbescheinigung trotz seiner Ernennung durch den Erblasser im Erbvertrag bzw. in der letztwilligen Verfügung vom 11. November 2001 nicht. Nach dem vorstehend Ausgeführten ist dieser aber eben- falls als Willensvollstrecker aufzunehmen und zwar mit dem Hin- weis, dass die Person des Willensvollstreckers bestritten wird. Die Vorinstanz hat daher die Erbbescheinigung vom 20. März 2002 zu- rückzuziehen und durch eine neue, korrigierte bzw. ergänzte zu erset- zen (vgl. auch Karrer, a.a.O., N 47 zu Art. 559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