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139 vom 11. Februar 2003</w:t>
      </w:r>
    </w:p>
    <w:p>
      <w:r>
        <w:t>AG Gerichte, 2003-02-11, DE</w:t>
      </w:r>
    </w:p>
    <w:p>
      <w:r>
        <w:rPr>
          <w:b/>
        </w:rPr>
        <w:t xml:space="preserve">Quelle: </w:t>
      </w:r>
      <w:r>
        <w:t>https://mcp.opencaselaw.ch/entscheid/ag_gerichte_AGVE_2002_139</w:t>
      </w:r>
    </w:p>
    <w:p>
      <w:r>
        <w:t>FR: AG_GERICHTE AGVE 2002 139 du 11 février 2003</w:t>
      </w:r>
    </w:p>
    <w:p>
      <w:r>
        <w:t>IT: AG_GERICHTE AGVE 2002 139 del 11 febbraio 2003</w:t>
      </w:r>
    </w:p>
    <w:p>
      <w:pPr>
        <w:pStyle w:val="Heading2"/>
      </w:pPr>
      <w:r>
        <w:t>Regeste</w:t>
      </w:r>
    </w:p>
    <w:p>
      <w:r>
        <w:t>II. Kündigung139 Kündigung.meinwesen grundsätzlich keine Verfügungsbefugnis zu (Erw. I/3).keine Rechtspersönlichkeit zugestehen, ist nicht passivlegitimiert.Die Klage ist als gegen den Trägerverein gerichtet zu betrachten(Erw. I/5).tersuchungsmaxime zur Anwendung (Erw. I/6).gen analog Art. 336b OR aus...</w:t>
      </w:r>
    </w:p>
    <w:p>
      <w:pPr>
        <w:pStyle w:val="Heading2"/>
      </w:pPr>
      <w:r>
        <w:t>Erwägungen</w:t>
      </w:r>
    </w:p>
    <w:p>
      <w:r>
        <w:rPr>
          <w:b/>
        </w:rPr>
        <w:t>E. 5</w:t>
      </w:r>
    </w:p>
    <w:p>
      <w:r>
        <w:t>Zur Klageeinreichung ist grundsätzlich befugt, wer einen öf- fentlichrechtlichen Anspruch in eigenem Namen behauptet. Die Ak- tivlegitimation der Klägerin ist offensichtlich gegeben. Die Eingaben der Klägerin vom 4. bzw. 22. Dezember 2001 richten sich gemäss deren Wortlaut gegen das Alterszentrum Y. Die- ses bildet eine Anstalt der Gemeinde O. (vgl. Ingress des Reglements der Gemeinde O. betreffend das Altersheim Y. vom 5. September 1983; im Folgenden: Reglement Y.). Eine gesetzliche Regelung, aufgrund derer das Altersheim als selbständige Anstalt zu betrachten wäre bzw. ihr eine eigene Rechtspersönlichkeit zukäme, ist nicht ersichtlich; insbesondere enthält auch das Reglement Y. keine ent- 2002 Personalrekursgericht 588 sprechende Bestimmung. Folglich ist das Altersheim nicht rechts- und auch nicht parteifähig. Die Klage ist damit als gegen den Trä- gerverband gerichtet zu betrachten (René Rhinow/Heinrich Kol- ler/Christina Kiss; Öffentliches Prozessrecht und Justizverfassungs- recht des Bundes; Basel/Frankfurt a.M. 1996, Rz. 798; Bundesge- richtsentscheid [BGE] 93 I 660), d.h. gegen die Gemeinde O.</w:t>
      </w:r>
    </w:p>
    <w:p>
      <w:r>
        <w:rPr>
          <w:b/>
        </w:rPr>
        <w:t>E. 6</w:t>
      </w:r>
    </w:p>
    <w:p>
      <w:r>
        <w:t>a) In Bezug auf das Personalrekursgericht sind für die Orga- nisation und das Verfahren die für das Verwaltungsgericht geltenden Vorschriften anwendbar, soweit keine abweichenden Bestimmungen bestehen (§ 42 Abs. 2 PersG). Enthält das Verwaltungsrechtspflege- gesetz selber keine spezifische Regelung, kommen im verwaltungs- gerichtlichen Klageverfahren sinngemäss die Bestimmungen der Zivilprozessordnung zur Anwendung (§ 67 VRPG). Weder das Personalgesetz noch das Verwaltungsrechtspflegege- setz enthalten eine Aussage darüber, ob im Klageverfahren die Un- tersuchungs- oder die Verhandlungsmaxime zur Anwendung gelan- gen. § 75 Abs. 1 ZPO statuiert die sog. Verhandlungsmaxime, wo- nach die Parteien dem Richter die Tatsachen, auf die sie ihre Begeh- ren stützen, darzulegen und ihre Beweismittel anzugeben haben. Abweichend hievon gilt gemäss § 380 Abs. 3 Satz 2 ZPO im Verfah- ren vor dem Arbeitsgericht die Untersuchungsmaxime, d.h. das Ar- beitsgericht stellt den Sachverhalt von Amtes wegen fest. b) §§ 354 ff. ZPO, insbesondere die Verfahrensbestimmungen von §§ 372 ff. ZPO, beinhalten spezifische Regelungen für die Ar- beitsgerichte als besondere Zivilgerichte (vgl. § 98 Abs. 2 KV). Auf- grund des spezifischen Zuschnitts dieser Regelungen auf ein beson- deres Zivilverfahren ist davon auszugehen, dass sie vom Verweis in § 42 Abs. 2 PersG bzw. § 67 VRPG nicht erfasst werden. Dies gilt umso mehr, als einerseits das privatrechtliche und das öffent- lichrechtliche Arbeitsverhältnis in verschiedenen Punkten ungleich ausgestaltet sind und anderseits das Verfahren gemäss Personalgesetz vom arbeitsgerichtlichen Verfahren zum Vornherein wesentlich ver- schieden ist. Insofern erscheint es nahe liegend, den spezifischen Rechtsschutz bei personalrechtlichen Streitigkeiten als im Personal- gesetz abschliessend geregelt zu betrachten und subsidiär (d.h. nach Massgabe der entsprechenden Verweise) lediglich die allgemeinen 2002 Kündigung 589 Bestimmungen des Verwaltungsrechtspflegegesetzes bzw. der Zivil- prozessordnung zur Anwendung zu bringen (a.M. Michael Merker, Rechtsmittel, Klage und Normenkontrollverfahren nach dem aar- gauischen Gesetz über die Verwaltungsrechtspflege, Diss. Zürich 1998, Vorbem. zu den §§ 60 - 67, N 10). Unbesehen dieser restriktiven Auslegung der massgebenden Verweisnormen erweist sich die Anwendung der Untersuchungsma- xime als sachgerecht. Dies ergibt sich vorab aufgrund der histori- schen Auslegung. Vor Inkrafttreten des Personalgesetzes wurden grundsätzlich sämtliche öffentlichrechtlichen Anstellungsverhältnisse mittels Verfügung begründet. Dementsprechend erfolgten auch Änderungen des Anstellungsverhältnisses mittels Verfügung; dage- gen stand die Beschwerdemöglichkeit offen. Im Beschwerdeverfah- ren gilt die Untersuchungsmaxime (§ 20 Abs. 1 VRPG). Überdies hat das Verwaltungsgericht auch im dienstrechtlichen Klageverfahren stets die Untersuchungsmaxime angewendet (Merker, a.a.O., § 67 N 62). Würde nunmehr aufgrund des Systemwechsels (Anstellung mittels Vertrag, Klageverfahren als ordentliches Rechtsmittel) neu die Verhandlungsmaxime zur Anwendung gelangen, würde dies ei- nen Abbau des Rechtsschutzes bedeuten. Der Gesetzgeber beabsich- tigte indessen genau das Gegenteil: Als Gegenstück zu liberalen Regelungen wie Abschaffung des Beamtenstatus und Einführung des Leistungslohnes sollte mit dem neuen Personalrecht der Rechts- schutz ausgebaut werden (AGVE 2001, S. 534; vgl. stellvertretend für diverse Stellen in den Materialien die Aussagen von Regierungs- rätin Stéfanie Mörikofer-Zwez an der Kommissionssitzung vom 17. März 2000, Kommissionsprotokoll, S. 544). Aufgrund der Mate- rialien ergibt sich denn auch nicht der geringste Anhaltspunkt dafür, dass mit dem neuen Personalrecht die Untersuchungsmaxime dahin fallen sollte. Im Weiteren ist zu berücksichtigen, dass im kommunalen Recht die Wahl zwischen Verfügungs- und Vertragsform regelmässig rein aleatorisch ist. So ist es ohne Weiteres möglich, dass Streitigkeiten mit identischer Fragestellung von einer Gemeinde in ihrer Funktion als Arbeitgeberin mittels Verfügung geregelt werden (da auch die Anstellung mittels Verfügung erfolgte) und eine andere Gemeinde 2002 Personalrekursgericht 590 (aufgrund der vertraglichen Anstellung) eine nicht in Verfügungs- form gekleidete vertragliche Erklärung abgibt. Entsprechend steht im einen Fall der Beschwerde-, im anderen Fall demgegenüber der Kla- geweg offen. Es wäre stossend, wenn - allein gestützt auf die ge- nannte Zufälligkeit - je nach Ausgestaltung des Rechtsschutzes in Bezug auf die Verantwortlichkeit für den Prozessstoff eine andere Maxime gelten würde. Schliesslich erscheint es auch im Ergebnis als sachgerecht, wenn im dienstrechtlichen Klageverfahren wie im Verfahren vor Arbeitsgericht die Untersuchungsmaxime zur Anwendung kommt (vgl. Art. 343 Abs. 4 OR; Manfred Rehbinder, Berner Kommentar, Bern 1992, Art. 343 N 21). Damit kann offen bleiben, ob die Unter- suchungsmaxime in der Verwaltungsrechtspflege allgemein Vorrang vor der Verhandlungsmaxime hat (so Kölz/Bosshart/Röhl, a.a.O., § 80a N 8 mit Hinweis; a.M. Michael Merker, Rechtsschutzsysteme im neuen öffentlichen Personalrecht, in: Peter Helbling/Tomas Poledna [Hrsg.], Personalrecht des öffentlichen Dienstes, Bern 1999, S. 461 ff., 483). c) Zusammenfassend ergibt sich, dass im Klageverfahren vor dem Personalrekursgericht die Untersuchungsmaxime zur Anwen- dung gelangt.</w:t>
      </w:r>
    </w:p>
    <w:p>
      <w:r>
        <w:rPr>
          <w:b/>
        </w:rPr>
        <w:t>E. 7</w:t>
      </w:r>
    </w:p>
    <w:p>
      <w:r>
        <w:t>a) § 10 Abs. 3 PersR verweist in Bezug auf den Kündigungs- schutz auf Art. 336 ff. des Obligationenrechts vom 30. März 1991 (OR). Der Verweis bezieht sich formell auch auf Art. 336b OR. Ge- mäss dieser Bestimmung muss derjenige, welcher gestützt auf Art. 336 und 336a OR eine Entschädigung geltend machen will, gegen die Kündigung längstens bis zum Ende der Kündigungsfrist beim Kündigenden schriftlich Einsprache erheben. Ist die Einsprache gül- tig erfolgt und einigen sich die Parteien nicht über die Fortsetzung des Arbeitsverhältnisses, so kann die Partei, der gekündigt worden ist, ihren Anspruch auf Entschädigung geltend machen. Wird nicht innert 180 Tagen nach Beendigung des Arbeitsverhältnisses eine Klage anhängig gemacht, ist der Anspruch verwirkt. Die erwähnte Regelung steht in Widerspruch zu § 48 PersG, wonach sich der Rechtsschutz für Personal von Gemeinden und an- deren öffentlichrechtlichen Körperschaften nach §§ 39 und 40 PersG 2002 Kündigung 591 richtet. Es stellt sich mithin die Frage, inwiefern § 48 PersG den Gemeinden gestattet, zusätzliche kommunale Verfahrensbestimmun- gen analog Art. 336b OR zu statuieren. Das Verwaltungsrechtspflegegesetz regelt das Verfahren vor den Verwaltungs- und den Verwaltungsjustizbehörden im Kanton und in den Gemeinden (§ 1 Abs. 1 VRPG). Den Gemeinden ist es daher verwehrt, eigene Rechtsmittelverfahren mit spezifischer verfahrens- mässiger Ausgestaltung vorzusehen. Dies schliesst nicht aus, dass vorgängig zum Klageverfahren ein verwaltungsinternes Verfahren vorgeschrieben wird, soweit dessen Ausgang - abgesehen vom Ver- gleich - für das Klageverfahren irrelevant ist (Merker, Rechtsschutz- systeme im neuen öffentlichen Personalrecht, a.a.O., S. 482). Dem- gegenüber ist es unzulässig, den durch den kantonalen Gesetzgeber zugestandenen Rechtsschutz einzuschränken. Genau dies bewirkt indessen der Verweis auf Art. 336b OR, werden doch darin zusätzli- che Voraussetzungen zur Klageerhebung statuiert und insbesondere zusätzliche Fristen festgelegt (gemäss kantonalem Recht gilt nur die Verjährungsfrist nach § 78a VRPG; aufgrund der ausdrücklichen Bestimmung in § 48 PersG entfallen im Zusammenhang mit dem Rechtsschutz für Personal von Gemeinden und anderen öffent- lichrechtlichen Körperschaften das Schlichtungsverfahren gemäss § 37 PersG und damit auch die in dieser Bestimmung festgelegten Fristen). Der Verweis widerspricht folglich höherrangigem kantona- len Recht und ist daher nicht anwendbar. (...) II. 1. a) Das Personalreglement enthält keine Formvorschriften in Bezug auf Vertragsänderungen. Massgeblich sind daher die Be- stimmungen des Obligationenrechts über den Einzelarbeitsvertrag (Art. 319 ff. OR, vgl. § 3 Abs. 2 PersR). Danach kann der Arbeits- vertrag, soweit für ihn die Schriftform gesetzlich nicht vorgesehen ist, nachträglich jederzeit formlos durch entsprechende Vereinbarung abgeändert werden (Jürg Brühwiler, Kommentar zum Einzelarbeits- vertrag, 2. Auflage, Bern/Stuttgart/Wien 1996, Art. 320 N 10 lit. a). b) Gemäss Vertragsänderung vom 19. März 2001 wurde der Klägerin neu die Funktion einer Küchengehilfin (bisher: Köchin bzw. stellvertretende Küchenchefin) zugewiesen. 2002 Personalrekursgericht 592 Die erwähnte Vertragsänderung wurde von der Klägerin unter- schrieben. Gemäss ihren eigenen Aussagen akzeptierte sie die Ände- rung, weil keine Lohnreduktion damit verbunden und ihr letztlich egal war, welche konkrete Funktion ihr zukam; ein Willensmangel wird nicht geltend gemacht. Es ist daher nicht erkennbar, inwiefern die Vertragsänderung unrechtmässig gewesen sein soll. Dies gilt umso mehr, als keine Hinweise darauf bestehen, dass der Klägerin die Kündigung angedroht worden wäre; entgegen ihrer Darstellung liegt keine Änderungskündigung vor. c) aa) Die "Vertragsänderung" vom 31. Mai 2001 (Reduktion der Besoldung auf brutto Fr. 39'000.--/Jahr) sowie insbesondere de- ren Modifikation mit "Vertrag" vom 19. Juli 2001 (Festlegung der Besoldung auf Fr. 42'900.--) wurden von der Klägerin nie unter- schrieben. Es stellt sich folglich die Frage, ob die "Vertragsände- rung" vom 31. Mai 2001 bzw. der "Vertrag" vom 19. Juli 2001 von der Klägerin stillschweigend akzeptiert wurden, wie dies seitens der Beklagten geltend gemacht wird, oder ob sie gar nicht rechtsgültig zustande kamen. bb) Aufgrund der Akten ergibt sich, dass die Klägerin die "Ver- tragsänderung" vom 31. Mai 2001 nicht akzeptierte. In der Folge kam es offenbar zu je einer Besprechung zwischen dem Vertreter der Klägerin und S., Leiterin des Alterszentrums Y. bzw. M., Mitglied der Betriebskommission. Die Gespräche veranlassten die Leitung des Alterszentrums zu den im "Vertrag" vom 19. Juli 2001 enthaltenen Modifikationen; die Klägerin verweigerte aber wiederum die Unter- schrift. Entsprechend dem im "Vertrag" vom 19. Juli 2001 vorgesehe- nen Zeitpunkt des Inkrafttretens erfolgte per Ende September 2001 die erste reduzierte Lohnauszahlung. Unmittelbar darauf, am 1. Ok- tober 2001, wandte sich der Vertreter der Klägerin an den Gemeinde- rat O. und beanstandete die Lohnreduktion ("Wir halten fest, dass die neue Einreihung mangels gesetzlicher Grundlage ungültig ist und ersuchen Sie daher höflichst, unserem Mitglied fortan den Lohn der Besoldungsklasse 2 zu zahlen oder ansonsten zuständigerweise zu verfügen"). Mit Schreiben vom 16. Oktober 2001 teilte der Gemein- derat mit, dass das Schreiben zur Beantwortung zuständigkeitsge- 2002 Kündigung 593 mäss der Leitung des Alterszentrums Y. weitergeleitet worden sei. In ihrem Schreiben vom 16. November 2001 hielt die Leiterin des Al- terszentrums fest, dass sie gegenüber dem "Vertrag" vom 19. Juli 2001 zu keinem weiteren Entgegenkommen bereit sei. Knapp 20 Tage später wandte sich die Klägerin mit ihrer ersten Eingabe an das Personalrekursgericht und verlangte, es sei ihr weiterhin der ur- sprüngliche Lohn auszubezahlen. Die Klägerin verweigerte somit nicht nur die Unterzeichnung der schriftlichen Vertragsofferte vom 19. Juli 2001, sondern interve- nierte auch unmittelbar nach Auszahlung des reduzierten Gehalts (d.h. sofort nachdem sie Kenntnis davon erhalten hatte, dass die Heimleitung von einem gültigen Vertrag ausging) beim Gemeinderat. Damit hat sie ihre Opposition gegenüber der Lohnreduktion hinrei- chend zum Ausdruck gebracht, zumal als sie auch nach der negativen Antwort der Heimleitung vom 16. November 2001 innert angemes- sener Frist reagierte und an das Personalrekursgericht gelangte. Die Behauptung der Beklagten, dass die Klägerin ab September 2001 widerspruchslos zum neuen Jahreslohn von Fr. 42'900.-- gearbeitet und damit den "Vertrag" vom 19. Juli 2001 stillschweigend akzep- tiert habe, erweist sich dementsprechend als unbegründet. Zusammenfassend ergibt sich, dass die "Vertragsänderung" vom 31. Mai 2001 bzw. der "Vertrag" vom 19. Juli 2001 nie zustande gekommen sind. Entsprechend hat die Klägerin Anspruch darauf, dass ihr bis zum Ende ihrer Anstellung das Gehalt gemäss der ur- sprünglichen Lohneinstufung, wie sie in der Vertragsänderung vom 19. März 2001 bestätigt wurde, ausbezahlt wird. (...) 2. a) In Bezug auf die Kündigung vom 13. Dezember 2001 macht die Klägerin vorab geltend, diese sei nichtig. Gemäss § 10 Abs. 3 Satz 2 PersR kommen im Zusammenhang mit dem Kündigungsschutz Art. 336 ff. OR zur Anwendung. Gemäss Art. 336a Abs. 1 OR hat die Partei, die das Arbeitsverhältnis miss- bräuchlich kündigt, der anderen Partei eine Entschädigung auszu- richten; die Kündigung bleibt indessen trotz der Missbräuchlichkeit rechtswirksam und beendet das Arbeitsverhältnis (Brühwiler, a.a.O., Art. 336a N 1; Adrian Stähelin, Zürcher Kommentar, Zürich 1996, Art. 336a N 2; Rehbinder, a.a.O., Art. 336a N 1). Dies entspricht der 2002 Personalrekursgericht 594 Regelung in § 12 PersG. Von einer Unwirksamkeit der Kündigung ist lediglich dann auszugehen, wenn gegen Formvorschriften verstossen wurde, denen die Bedeutung einer Gültigkeitsvoraussetzung zu- kommt (Brühwiler, a.a.O., Art. 335 N 6; Stähelin, a.a.O., Art. 335 N 9; Rehbinder a.a.O., Art. 335 N 5). b) Das Anstellungsverhältnis zwischen der Klägerin und dem Alterszentrum Y. bzw. der Gemeinde O. beruhte auf einem Vertrag; der Leitung des Alterszentrums bzw. der Gemeinde O. kam in Bezug auf die Kündigung keine Verfügungskompetenz zu (vgl. Erw. I/3 hievor). Als vertragliche Erklärung musste die Kündigung nicht den Formvorschriften genügen, wie sie an eine Verfügung gestellt wer- den. Die in § 10 Abs. 1 PersR festgelegte Schriftlichkeit wurde ein- gehalten (wobei offen bleiben kann, ob sie eine Gültigkeitsvoraus- setzung bildete oder nicht); die Gewährung des Anhörungsrechts gemäss § 10 Abs. 3 Satz 1 PersR stellt keine Gültigkeitsvorausset- zung dar (vgl. Erw. 3/d hienach). Es ist dementsprechend nicht er- sichtlich, inwiefern die Kündigung einer zwingenden Formvorschrift widersprechen würde und daher als unwirksam betrachtet werden müsste. 3. a) Gemäss § 10 Ziff. 3 Satz 1 PersR steht dem von einer Kündigung betroffenen Personal ein Anhörungsrecht zu. Der verfassungsmässige Anspruch auf rechtliches Gehör (§ 29 Abs. 2 BV) dient einerseits der Sachaufklärung und stellt anderseits zugleich ein persönlichkeitsbezogenes Mitwirkungsrecht der Parteien dar (BGE 127 I 56; 124 I 242 m.H.). Wesentlicher Teilgehalt des Anspruchs ist das Recht auf vorgängige Anhörung (BGE 122 II 286 m.H.). Analog hierzu lässt sich das Anhörungsrecht gemäss § 10 Ziff. 3 Satz 1 PersR nicht anders verstehen, als dass es ebenfalls vorgängig der Kündigung gewährt werden muss. Dies gilt umso mehr, als das Personalreglement kein Einspracheverfahren mit einem nachträglichen Anhörungsrecht bzw. keine nachträgliche Überprü- fung der Kündigung durch die Anstellungsbehörde vorsieht (vgl. BGE 122 II 286 f.). Wie weit das Anhörungsrecht geht, lässt sich nicht generell, sondern nur unter Würdigung der konkreten Umstände und Interes- senlagen beurteilen. Einerseits kann das zu gewährende rechtliche 2002 Kündigung 595 Gehör seinen Zweck nur dann richtig erfüllen, wenn die Betroffenen nicht bloss die ihnen zur Last gelegten Tatsachen kennen, sondern darüber hinaus wissen oder wissen müssen, dass gegen sie eine Massnahme mit einer bestimmten Stossrichtung in Erwägung gezo- gen wird. Anderseits ist zu berücksichtigen, dass im öffentlichrecht- lichen Dienstrecht auch relativ informelle Äusserungsgelegenheiten vor der Kündigung dem Gehörsanspruch genügen können, sofern den Betroffenen klar war, dass sie mit einer Auflösung des Arbeits- verhältnisses zu rechnen hatten (BGE vom 22. März 2001 m.H., publiziert in Hänni, a.a.O., S. 632). b) aa) In der (beidseits unterzeichneten) Vertragsänderung vom 19. März 2001 wurde die Klägerin ausdrücklich darauf aufmerksam gemacht, dass bei weiteren ungenügenden Leistungen seitens der Beklagten eine Kündigung in Betracht gezogen werde. Diese Konse- quenz wurde auch in den (von der Beklagten nicht unterschriebenen, ihr aber bekannten) Vertragsentwürfen vom 31. Mai und 19. Juli 2001 in Aussicht gestellt. Die Möglichkeit der Kündigung war dabei jedoch stets mit dem Vorbehalt verknüpft, dass die Leistungen der Klägerin weiterhin ungenügend bleiben würden; insofern musste sie (noch) nicht mit einer konkret bevorstehenden Kündigung rechnen. Folglich bestand kein Anlass zu einer diesbezüglichen Stellung- nahme, zumal auch nie eine entsprechende Aufforderung erging. Anlässlich der Mitarbeiterbeurteilung vom 24. Oktober 2001 wurde der Klägerin eröffnet, dass ihre Leistung mit der schlechtest- möglichen Beurteilung "A" bewertet wurde. Insofern liesse sich ar- gumentieren, die Klägerin habe nunmehr um die drohende Kündi- gung wissen müssen und hätte insbesondere im Rahmen der Mitar- beiterbeurteilung hierzu Stellung nehmen können. Demgegenüber erscheint Folgendes wesentlich: Es besteht kein Hinweis darauf, dass im Rahmen des Beurteilungsgesprächs von einer allfälligen Kündi- gung gesprochen wurde. Vielmehr wurden neue Jahresziele formu- liert und damit der Klägerin signalisiert, dass ihr weiterhin eine Chance zur Bewährung eingeräumt werde. In ihrem Schreiben vom 16. November 2001 an den damaligen Rechtsvertreter der Klägerin hielt die Leiterin des Alterszentrums ausdrücklich fest, von der Klä- gerin werde erwartet, dass sie sich entweder innert Kürze bezüglich 2002 Personalrekursgericht 596 Leistung, Teamarbeit und Kooperation weiterentwickle oder eine andere Arbeitsstelle suche; von einer möglichen Kündigung durch die Beklagte war keine Rede. Die Klägerin wurde folglich zumindest bis zum 13. Dezember 2001 (vgl. lit. bb hienach) nie - weder aus- drücklich noch stillschweigend - damit konfrontiert, dass die Be- klagte aufgrund der Leistungsentwicklung der Klägerin nunmehr konkret eine Kündigung erwog; erst recht wurde sie nie in irgendei- ner Art und Weise zu einer Stellungnahme zu diesen Absichten auf- gefordert. Die Auseinandersetzung zwischen den Parteien war in diesem Zeitraum auf die Frage der Lohneinstufung fokussiert. bb) Fraglich erscheint höchstens, inwiefern das Gespräch vom 13. Dezember 2001 zwischen der Leiterin des Alterszentrums und dem damaligen Vertreter der Klägerin dem Anspruch auf vorgängige Anhörung genügte. Die Beklagte macht geltend, der Vertreter habe anlässlich dieser Unterredung zur bevorstehenden Kündigung Stel- lung nehmen können. Diese Sachverhaltsdarstellung ist indessen umstritten (Eingabe der Klägerin vom 9. Februar 2003 bzw. dazuge- hörige Ergänzung vom 10. Februar 2003) und in keiner Art und Weise, insbesondere weder durch ein Protokoll oder eine Aktennotiz des Gesprächs, belegt. Im Zusammenhang mit einer Kündigung er- gibt sich zudem aus dem Zweck des Anhörungsrechts (vgl. lit. a hievor), dass der persönlichen Mitwirkung des Betroffenen ein gros- ser Stellenwert beizumessen ist. Die Verfahrensgarantie muss dem- entsprechend in concreto selbst nach der Sachverhaltsdarstellung der Beklagten als verletzt angesehen werden, da die Klägerin nicht selber an der Unterredung teilnahm bzw. es ihr mangels Voraussehbarkeit (vgl. lit. aa hievor) nicht möglich war, den Vertreter in Bezug auf die Frage der Kündigung hinreichend zu instruieren. Schliesslich ist wesentlich, dass die Klägerin ihren Vertreter offensichtlich im Zu- sammenhang mit der Lohneinstufung beigezogen hatte (vgl. Voll- macht vom 9. September 2001: "Forderungen aus dem Arbeitsver- hältnis") und die Beklagte daher nicht davon ausgehen durfte, dass er bevollmächtigt sei, sie auch im Zusammenhang mit einer allfälligen Kündigung zu vertreten. In Bezug auf die mündliche Eröffnung der Kündigung am 13. Dezember 2001 besteht kein Anhaltspunkt dafür, dass die Be- 2002 Kündigung 597 klagte der Klägerin zunächst die Kündigung in Aussicht gestellt und ihr vorgängig des definitiven Entscheides die Gelegenheit zur Stel- lungnahme geboten hätte. cc) Zusammenfassend ergibt sich, dass der Klägerin das ihr zu- stehende Anhörungsrecht nicht gewährt worden ist. c) Dem Personalrekursgericht ist es grundsätzlich versagt, die Auflösung eines Arbeitsverhältnisses aufzuheben und eine Wieder- einstellung anzuordnen (AGVE 2001, S. 520 ff.). Es erfolgt somit keine Prüfung im gleichen Umfang wie durch die Vorinstanz, wes- halb eine sog. "Heilung" der Verletzung des Anhörungsrechts zum Vornherein ausser Betracht fällt (vgl. Häfelin/Müller, a.a.O., Rz. 1710 f. m.H.). d) Zusammenfassung ergibt sich, dass sich die Kündigung aus formellen Gründen als unrechtmässig erweist. § 10 Abs. 3 Satz 2 PersR verweist in Bezug auf die Folgen einer unrechtmässigen Kündigung auf Art. 336 ff. OR (vgl. Erw. 2/a hie- vor). Es besteht kein Anlass zur Annahme, dass der Verweis bei Verletzungen des (im gleichen Absatz geregelten) Anhörungsrechts nicht zum Zuge kommt bzw. dass die Gewährung des Anhörungs- rechts eine Gültigkeitsvoraussetzung darstellt, deren Verletzung eine Unwirksamkeit der Kündigung zur Folge hat. Dies gilt umso mehr, als eine gegenteilige Regelung zu erheblichen Rechtsunsicherheiten führen könnte, da Verletzungen des Anhörungsrechts - anders als z.B. die Verletzung der Schriftlichkeit - häufig nicht ohne Weiteres erkennbar sind. Somit ergibt sich, dass die Kündigung trotz Verletzung des An- hörungsrechts rechtswirksam ist. Die Beklagte trifft indessen eine Entschädigungspflicht gemäss § 10 Abs. 3 PersR i.V. mit Art. 336a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