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114 vom 20. Juli 2001</w:t>
      </w:r>
    </w:p>
    <w:p>
      <w:r>
        <w:t>AG Gerichte, 2001-07-20, DE</w:t>
      </w:r>
    </w:p>
    <w:p>
      <w:r>
        <w:rPr>
          <w:b/>
        </w:rPr>
        <w:t xml:space="preserve">Quelle: </w:t>
      </w:r>
      <w:r>
        <w:t>https://mcp.opencaselaw.ch/entscheid/ag_gerichte_AGVE_2001_114</w:t>
      </w:r>
    </w:p>
    <w:p>
      <w:r>
        <w:t>FR: AG_GERICHTE AGVE 2001 114 du 20 juillet 2001</w:t>
      </w:r>
    </w:p>
    <w:p>
      <w:r>
        <w:t>IT: AG_GERICHTE AGVE 2001 114 del 20 luglio 2001</w:t>
      </w:r>
    </w:p>
    <w:p>
      <w:pPr>
        <w:pStyle w:val="Heading2"/>
      </w:pPr>
      <w:r>
        <w:t>Regeste</w:t>
      </w:r>
    </w:p>
    <w:p>
      <w:r>
        <w:t>114 Familiennachzug des Kindes durch einen Elternteil.Ist ein Elternteil verstorben, so ist das Familiennachzugsgesuch nach denKriterien des Familiennachzugs einer Gesamtfamilie zu beurteilen (Erw.II/2d).</w:t>
      </w:r>
    </w:p>
    <w:p>
      <w:pPr>
        <w:pStyle w:val="Heading2"/>
      </w:pPr>
      <w:r>
        <w:t>Erwägungen</w:t>
      </w:r>
    </w:p>
    <w:p>
      <w:r>
        <w:rPr>
          <w:b/>
        </w:rPr>
        <w:t>E. 13</w:t>
      </w:r>
    </w:p>
    <w:p>
      <w:r>
        <w:t>Oktober 2000 Einsprache. Am 23. Februar 2001 wies der Rechtsdienst der Fremdenpolizei (Vorinstanz) die Einsprache ab. C. Gegen den Einspracheentscheid der Vorinstanz erhoben die Beschwerdeführer am 18. März 2001 Beschwerde. Aus den Erwägungen II. 2. d) Im vorliegenden Fall ist der Vater des Beschwerdefüh- rers bereits vor dessen Geburt gestorben. Es stellt sich somit die Frage, ob das Familiennachzugsgesuch nach den Kriterien des Einelternnachzuges zu prüfen ist, oder ob ein vorbehaltsloser An- spruch auf Familiennachzug besteht. Richtig ist, dass Art. 17 Abs. 2 ANAG gemäss bundesgerichtlicher Rechtsprechung die Ermögli- chung des Zusammenlebens der Gesamtfamilie (Vater, Mutter und Kind) bezweckt. Bei einer Familie, bei der ein Elternteil verstorben ist, kann die (Gesamt)familie jedoch nur noch aus dem Rest der Fa- milie, d.h. aus einem Elternteil und dem Kind, bestehen. Dement- 2001 Rekursgericht im Ausländerrecht 498 sprechend hat das Bundesgericht in BGE 118 Ib 153, E. 2b, S. 159 ausgeführt, diese Idealvorstellung einer Familie stehe unter dem Vorbehalt, dass beide Elternteile überhaupt noch leben. Wörtlich schreibt das Bundesgericht: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Entgegen der Auffassung der Vorinstanz besteht damit - innerhalb der allgemeinen Schranken von Art. 17 Abs. 2 ANAG - ein vorbehaltloser Anspruch auf Familien- nachzug. (...). Stellen die allgemeinen Schranken von Art. 17 Abs. 2 ANAG kein Hindernis für den Familiennachzug dar, ist dieser nur dann zu verweigern, wenn sich das Gesuch als rechtsmissbräuchlich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