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2000 5 vom 1. Oktober 1999</w:t>
      </w:r>
    </w:p>
    <w:p>
      <w:r>
        <w:t>AG Gerichte, 1999-10-01, DE</w:t>
      </w:r>
    </w:p>
    <w:p>
      <w:r>
        <w:rPr>
          <w:b/>
        </w:rPr>
        <w:t xml:space="preserve">Quelle: </w:t>
      </w:r>
      <w:r>
        <w:t>https://mcp.opencaselaw.ch/entscheid/ag_gerichte_AGVE_2000_5</w:t>
      </w:r>
    </w:p>
    <w:p>
      <w:r>
        <w:t>FR: AG_GERICHTE AGVE 2000 5 du 1 octobre 1999</w:t>
      </w:r>
    </w:p>
    <w:p>
      <w:r>
        <w:t>IT: AG_GERICHTE AGVE 2000 5 del 1 ottobre 1999</w:t>
      </w:r>
    </w:p>
    <w:p>
      <w:pPr>
        <w:pStyle w:val="Heading2"/>
      </w:pPr>
      <w:r>
        <w:t>Regeste</w:t>
      </w:r>
    </w:p>
    <w:p>
      <w:r>
        <w:t>B. Sachenrecht5 Art. 694 ZGB; Notwegrecht.Ist die notwegsbelastete Parzelle überbaut, hat sich der Notwegsberechtigte grundsätzlich in den von ihm beanspruchten Grundstücksteil einzukaufen (E. 5).Analoge Anwendung der enteignungsrechtlichen Kostenverteilungsregelnim erstinstanzlichen Notwegprozess (Erw....</w:t>
      </w:r>
    </w:p>
    <w:p>
      <w:pPr>
        <w:pStyle w:val="Heading2"/>
      </w:pPr>
      <w:r>
        <w:t>Erwägungen</w:t>
      </w:r>
    </w:p>
    <w:p>
      <w:r>
        <w:rPr>
          <w:b/>
        </w:rPr>
        <w:t>E. 34</w:t>
      </w:r>
    </w:p>
    <w:p>
      <w:r>
        <w:t>B. Sachenrecht 5 Art. 694 ZGB; Notwegrecht. Ist die notwegsbelastete Parzelle überbaut, hat sich der Notwegsberech- tigte grundsätzlich in den von ihm beanspruchten Grundstücksteil einzu- kaufen (E. 5). Analoge Anwendung der enteignungsrechtlichen Kostenverteilungsregeln im erstinstanzlichen Notwegprozess (Erw. 6). Aus dem Entscheid des Obergerichts, 1. Zivilkammer, vom 1. Oktober 1999 in Sachen St. E. gegen B.Sch. Aus den Erwägungen 5. a) Mit der Einräumung des Notwegrechts ist der Beklagte verpflichtet, alles zu unterlassen, was die Ausübung der Dienstbar- keit verhindert oder erschwert (Art. 737 Abs. 3 ZGB), insbesondere ist er zur permanenten Freihaltung der Wegfläche verpflichtet. Da- durch wird dem Beklagten die Servitutsfläche entlang der Grund- stückgrenze der individuellen Nutzung entzogen. b) Gemäss Art. 694 Abs. 1 ZGB hat der durch das Notwegrecht belastete Grundeigentümer Anspruch auf volle Entschädigung. Massgebend für die Berechnung der Entschädigung sind die Nach- teile des Notwegbelasteten im Zeitpunkt der Einräumung des Not- wegs (Meier-Hayoz, Berner Kommentar, N 78 zu Art. 694 ZGB). Wegen der Ähnlichkeit der Stellung des Notwegberechtigten mit derjenigen eines Exproprianten hat das Bundesgericht für die Berechnung der Entschädigung nach Art. 694 Abs. 1 ZGB die Heranziehung der Grundsätze der Enteignung anerkannt. Danach entspricht die Entschädigung grundsätzlich der Differenz zwischen dem Verkehrswert des unbelasteten und demjenigen des mit dem Notweg belasteten Grundstück, wobei die Schätzung bei einem 2000 Zivilrecht</w:t>
      </w:r>
    </w:p>
    <w:p>
      <w:r>
        <w:rPr>
          <w:b/>
        </w:rPr>
        <w:t>E. 35</w:t>
      </w:r>
    </w:p>
    <w:p>
      <w:r>
        <w:t>überbauten Grundstück in Abweichung von der globalen Ermittlung der Wertdifferenz mit Vorteil auf die Wertdifferenz des vom Notwegrecht konkret beanspruchten Grundstückteils allein zu beschränken ist, mit der Folge, dass sich der Notwegberechtigte am Verkehrswert der von ihm beanspruchten Fläche durch Einkauf angemessen zu beteiligen hat (BGE 120 II 423 f. mit Hinweisen auf Literatur und Rechtsprechung). c) Die Vorinstanz hat dem Beklagten für die Einräumung des Notwegrechts eine Entschädigung von Fr. 30'000.-- zugesprochen. Dabei ist sie von einer Servitutsfläche von 29,25 m2 und gestützt auf eine telefonische Auskunft des Kreisschätzers von einem relativen Landwert bei überbauten Grundstücken von Fr. 500.-- pro m2 ausge- gangen. Den so ermittelten Verkehrswert von gerundet Fr. 15'000.-- hat sie nicht nur teilweise im Sinne eines Einkaufs, sondern gänzlich dem Kläger überbunden. Zusätzlich hat sie eine Entschädigung von Fr. 15'000.-- für die Beeinträchtigung der ungestörten Nutzung der Liegenschaft des Beklagten sowie für die zu erwartenden Immissio- nen festgesetzt. Der Beklagte rügt in der Appellation grundsätzlich zu Recht die Verletzung seiner Parteirechte, da die Vorinstanz für den relativen Landwert auf eine telefonische Auskunft abgestellt hat, statt ein for- melles Expertiseverfahren durchzuführen. Vor Obergericht hat sich der Beklagte zum Landwert äussern können, wodurch die Verletzung seines rechtlichen Gehörs in erster Instanz geheilt ist. Von einer Ex- pertise über den Verkehrswert des Grundstücks kann aber abgesehen werden, weil für den Beklagten auf keinen Fall eine höhere Entschä- digung als die von der Vorinstanz zugesprochene und vom Kläger akzeptierte Entschädigung in der Höhe von Fr. 30'000.-- resultiert. Der Beklagte teilte in seiner Eingabe vom 23. August 1999 mit, dass nach eigenen Erkundigungen der Verkehrswert für Grundstücke in der fraglichen Lage Fr. 650.--/m2 betrage. Die von der Vorinstanz auf Fr. 15'000.-- festgelegte "Grundentschädigung" für die der Grundstücksgrenze entlang verlaufende Dienstbarkeitsfläche von 2000 Obergericht</w:t>
      </w:r>
    </w:p>
    <w:p>
      <w:r>
        <w:rPr>
          <w:b/>
        </w:rPr>
        <w:t>E. 36</w:t>
      </w:r>
    </w:p>
    <w:p>
      <w:r>
        <w:t>unbestrittenermassen 29.25 m2 kommt einem Einkauf zu knapp über Fr. 500.-- pro Quadratmeter gleich, was bei einem relativen Landwert von Fr. 650.-- einem Einkauf von rund 75% entspricht. Selbst im Vergleich mit einem absoluten Landwert von gerichtsnotorisch klar unter Fr. 1'000.-- entspricht der Einkauf über 50% des Werts; für eine prozentual höhere Beteiligung des Klägers an der beanspruchten Grundstücksfläche besteht kein Anlass. Im Übrigen erscheint die Zulässigkeit des von der Vorinstanz festgesetzten "Zuschlags" für Immissionen und Beeinträchtigung der ungestörten Nutzung höchst fragwürdig. Denn der Einkauf in den mit der Dienstbarkeit zu belastenden Grundstücksteil tritt grundsätzlich anstelle der Differenzberechnung im Sinne eines Vergleichs des Werts des Gesamtgrundstücks vor und nach der Belastung mit der Servitut, dies weil die letztere "klassische" Differenzberechnung vor allem bei überbauten Grundstücken aleatorische Züge aufweist (BGE 120 II 424). Dies trifft gerade im Fall der Parteien des vorliegenden Verfahrens zu, wo dem Kläger lediglich ein Fussweg- und auf Fahr- zeuge mit Elektromotoren beschränktes Fahrwegrecht eingeräumt worden ist, weshalb Lärmimmissionen vernachlässigbar sind, und wo das entlang der Grundstücksgrenze verlaufende Wegrecht an der Garage und dem Garten des Beklagten vorbeiführt, weshalb die Be- einträchtigung der Privatsphäre im Wesentlichen in einer exponierte- ren Gartennutzung besteht. [...] 6. Die Vorinstanz hat die Gerichtskosten den Parteien je zur Hälfte auferlegt und die Parteikosten wettgeschlagen. Demgegenüber beantragt der Beklagte in der Appellation, es seien die gesamten Prozesskosten dem Kläger aufzuerlegen, denn dieser sei mit seinem Begehren nur teilweise durchgedrungen und es sei das gute Recht des Beklagten gewesen, sich gegen den erheblichen Eingriff in einen Teil seines Privatlebens zur Wehr zu setzen. Beim Notweganspruch handelt es sich um eine Legalservitut, die sich im Ergebnis für den Notwegverpflichteten gleich auswirkt, 2000 Zivilrecht</w:t>
      </w:r>
    </w:p>
    <w:p>
      <w:r>
        <w:rPr>
          <w:b/>
        </w:rPr>
        <w:t>E. 37</w:t>
      </w:r>
    </w:p>
    <w:p>
      <w:r>
        <w:t>wie wenn ihm in einem Enteignungsverfahren eine Dienstbarkeit auferlegt wird. So wie der Enteignete zur Feststellung der Enteig- nungsvoraussetzungen und der Höhe der Enteignungsentschädigung grundsätzlich ohne Kostenrisiko jedenfalls das erstinstanzliche Ent- eignungsverfahren beanspruchen kann, so soll es auch der Notweg- verpflichtete ohne Kostenfolge zumindest für das erstinstanzliche Verfahren auf einen Prozess ankommen lassen dürfen. Lehre und Rechtsprechung vertreten deshalb die Auffassung, dass die enteig- nungsrechtlichen Kostenverteilungsregeln im Notwegprozess analog anzuwenden sind (BGE 85 II 402; AGVE 1974 S. 36 Erw. 3; Meier- Hayoz, a.a.O., N 69 zu Art. 694 ZGB; Bühler/Edelmann/Killer, Kommentar zur aargauischen Zivilprozessordnung, Aarau 1998, N 11 zu § 113; Caroni-Rudolf, Der Notweg, Diss. Bern 1969, S. 115). Die enteignungsrechtlichen Kostenregeln sehen zweierlei Aus- nahmen vom Grundsatz vor, dass der Enteigner sowohl die Verfah- renskosten als auch die Parteikosten des Enteigneten zu tragen hat: - Der Enteignete hat missbräuchliche Begehren, namentlich of- fensichtlich unbegründete oder übersetzte Forderungen gestellt (Art. 114 Abs. 2 und Art. 115 Abs. 3 EntG; § 26 Abs. 2 des Dekrets über das Verfahren vor der Schätzungskommission nach Baugesetz und Gewässerschutzgesetz vom 22. Februar 1972). - Die Begehren des Enteigneten werden ganz oder zum grössten Teil abgewiesen (Art. 115 Abs. 2 und Art. 116 Abs. 1 Satz 2 EntG). Für diese beiden Ausnahmefälle ist im Enteignungsrecht vorge- sehen, dass dem Enteigneten die Verfahrenskosten ganz oder teilwei- se auferlegt werden können und ihm eine Parteientschädigung nicht nur verweigert, sondern auch die Ausrichtung einer Parteientschädi- gung an den Enteigner auferlegt werden kann. Es soll damit verhin- dert werden, dass übertriebene Begehren des Enteigneten, mit denen er die Rechtsfindung erschwert, keinerlei Kostennachteile nach sich ziehen und er dafür vom Enteigner noch honoriert werden muss (Hess/Weibel, Kommentar zum Enteignungsrecht des Bundes, 2000 Obergericht</w:t>
      </w:r>
    </w:p>
    <w:p>
      <w:r>
        <w:rPr>
          <w:b/>
        </w:rPr>
        <w:t>E. 38</w:t>
      </w:r>
    </w:p>
    <w:p>
      <w:r>
        <w:t>Art. 114 N 6 und Art. 115 N 6). Dabei wird allerdings nicht aus- schliesslich auf den Prozessausgang, sondern wesentlich darauf ab- gestellt, ob die Begehren des Enteigneten mutwillig oder miss- bräuchlich waren oder ob er sich uneinsichtig gezeigt hat (BGE 108 Ib 498 Erw. 7, 98 Ib 432; Hess/Weibel, a.a.O., Art. 116 N 3). Die Vorinstanz ist bei ihrem Kostenentscheid zutreffend vom enteignungsähnlichen Charakter des Notwegrechts ausgegangen, hat aber von einer einseitigen Kostenauflage zu Lasten des Klägers ab- gesehen, weil offensichtlich eine Wegnot des klägerischen Grund- stücks bestehe, die schon seit Jahrzehnten über die Liegenschaft des Beklagten gelindert worden sei; es sei deshalb nicht zu verstehen, dass der Beklagte nicht wenigstens zu einer Lösung wie der vom Gericht gefundenen Hand geboten habe. Die tatsächliche Benutzung eines Weges wie auch die Duldung eines Zugangs auf Zusehen hin präjudizieren jedoch das Notwegrecht bei verschiedenen möglichen Notwegverbindungen nicht (Meier-Hayoz, a.a.O., N 31 zu Art. 694 ZGB), so dass der Standpunkt des Beklagten, die Wegnot könne durch Ausdehnung des bestehenden Fusswegrechts über die nördli- chen Nachbargrundstücke behoben werden, nicht als mutwillig be- zeichnet werden kann. Dennoch ist der vorinstanzliche Kostenentscheid wegen der of- fensichtlich übersetzten Entschädigungsforderung des Beklagten zu schützen. § 21 ZPO statuiert für Streitigkeiten über Bestand und Umfang von Dienstbarkeiten und nachbarrechtliche Eigentumsbe- schränkungen - in Abweichung vom Grundsatz von § 16 ZPO, wo- nach das Klagebegehren den Streitwert bestimmt -, dass das grössere der beiden (geldwerten) Interessen der Parteien massgebend ist. Mit- hin ist der Grundeigentümer, dessen Grundstück nach der Auffassung eines klagenden Nachbarn mit einer Dienstbarkeit belastet werden soll, nicht gehalten, ein eigentliches Widerklageeventualbegehren zu stellen. Der Beklagte hat sein Interesse an einem vom eingeklagten Fahrwegrecht freien Grundstück in der Klageantwort auf rund Fr. 200'000.-- beziffert (vgl. auch Streitwert gemäss zweitinstanzlich 2000 Zivilrecht</w:t>
      </w:r>
    </w:p>
    <w:p>
      <w:r>
        <w:rPr>
          <w:b/>
        </w:rPr>
        <w:t>E. 39</w:t>
      </w:r>
    </w:p>
    <w:p>
      <w:r>
        <w:t>eingeholter Kostennote). Ausgehend von der bundesgerichtlichen Rechtsprechung, wonach - aus überzeugenden Gründen - bei einem überbauten Grundstück grundsätzlich ein angemessener Einkauf in den von der Servitut belasteten Grundstücks teil, d.h. nicht ein Abkauf, zu erfolgen hat (vgl. Erwägung 5b vorstehend), sowie vom Umstand, dass Grundstückpreise von mehr als Fr. 1'000.--/m2 in der fraglichen Gegend nicht erzielt werden, muss die vom Beklagten verlangte Entschädigungsforderung als klar übersetzt betrachtet werden. Die Wettschlagung der Parteikosten durch die Vorinstanz ist daher nicht zu beanstanden. Mangels einer Anfechtung des vorinstanzlichen Urteils im Kostenpunkt durch den Kläger kann dahingestellt bleiben, ob sich gar gerechtfertigt hätte, den Beklagten zu verpflichten, dem Kläger die erstinstanzlichen Parteikosten teil- weise oder ganz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