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5-GR.2011.1 vom 21. Juni 2011</w:t>
      </w:r>
    </w:p>
    <w:p>
      <w:r>
        <w:t>AG Gerichte, 2011-06-21, DE</w:t>
      </w:r>
    </w:p>
    <w:p>
      <w:r>
        <w:rPr>
          <w:b/>
        </w:rPr>
        <w:t xml:space="preserve">Quelle: </w:t>
      </w:r>
      <w:r>
        <w:t>https://mcp.opencaselaw.ch/entscheid/ag_gerichte_5-GR.2011.1</w:t>
      </w:r>
    </w:p>
    <w:p>
      <w:r>
        <w:t>FR: AG_GERICHTE 5-GR.2011.1 du 21 juin 2011</w:t>
      </w:r>
    </w:p>
    <w:p>
      <w:r>
        <w:t>IT: AG_GERICHTE 5-GR.2011.1 del 21 giugno 2011</w:t>
      </w:r>
    </w:p>
    <w:p>
      <w:pPr>
        <w:pStyle w:val="Heading2"/>
      </w:pPr>
      <w:r>
        <w:t>Regeste</w:t>
      </w:r>
    </w:p>
    <w:p>
      <w:r>
        <w:t>Berücksichtigung örtlich gebundener Dienstbarkeiten im Geldausgleich. - Örtlich gebundene Dienstbarkeiten gehen bei der Neuzuteilung von Grundstücken im Rahmen einer Güterregulierung auf die neu gebildeten Grundstücke über, welche lagemässig den alten entsprechen; den neuen Eigentümern stehen gegenüber den früheren Eigentümern keinerlei Ansprüche zu (Erw. II/3). - Wurde im Rahmen der Güterregulierung keine Minderbonitierung der mit Dienstbarkeiten belasteten Grundstücke vorgenommen, ist der neue Eigentümer im Rahmen des Geldausgleichs zu entschädigen (Erw. II/4.3). - In casu erhielten die früheren Eigentümer für die auf ihren Parzellen befindlichen Freileitungen Entschädigungszahlungen für 25 Jahre und erfolgte die Neuzuteilung nach zwölf Jahren; die im Geldausgleich zu leistende Abgeltung ist daher ausgehend von der dem früheren Eigentümer geleisteten Gesamtentschädigung unter Berücksichtigung der massgebenden Barwertfaktoren für die Restlaufzeit zu bestimmen (Erw. II/4.3 - 4.5).</w:t>
      </w:r>
    </w:p>
    <w:p>
      <w:pPr>
        <w:pStyle w:val="Heading2"/>
      </w:pPr>
      <w:r>
        <w:t>Volltext</w:t>
      </w:r>
    </w:p>
    <w:p>
      <w:r>
        <w:t>Aargau Obergericht Verwaltungsgericht 21.06.2011 5-GR.2011.1</w:t>
      </w:r>
    </w:p>
    <w:p>
      <w:r>
        <w:t>Berücksichtigung örtlich gebundener Dienstbarkeiten im Geldausgleich. - Örtlich gebundene Dienstbarkeiten gehen bei der Neuzuteilung von Grundstücken im Rahmen einer Güterregulierung auf die neu gebildeten Grundstücke über, welche lagemässig den alten entsprechen; den neuen Eigentümern stehen gegenüber den früheren Eigentümern keinerlei Ansprüche zu (Erw. II/3). - Wurde im Rahmen der Güterregulierung keine Minderbonitierung der mit Dienstbarkeiten belasteten Grundstücke vorgenommen, ist der neue Eigentümer im Rahmen des Geldausgleichs zu entschädigen (Erw. II/4.3). - In casu erhielten die früheren Eigentümer für die auf ihren Parzellen befindlichen Freileitungen Entschädigungszahlungen für 25 Jahre und erfolgte die Neuzuteilung nach zwölf Jahren; die im Geldausgleich zu leistende Abgeltung ist daher ausgehend von der dem früheren Eigentümer geleisteten Gesamtentschädigung unter Berücksichtigung der massgebenden Barwertfaktoren für die Restlaufzeit zu bestimmen (Erw. II/4.3 - 4.5).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