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3-BB.2008.10 vom 22. Oktober 2009</w:t>
      </w:r>
    </w:p>
    <w:p>
      <w:r>
        <w:t>AG Gerichte, 2009-10-22, DE</w:t>
      </w:r>
    </w:p>
    <w:p>
      <w:r>
        <w:rPr>
          <w:b/>
        </w:rPr>
        <w:t xml:space="preserve">Quelle: </w:t>
      </w:r>
      <w:r>
        <w:t>https://mcp.opencaselaw.ch/entscheid/ag_gerichte_3-BB.2008.10</w:t>
      </w:r>
    </w:p>
    <w:p>
      <w:r>
        <w:t>FR: AG_GERICHTE 3-BB.2008.10 du 22 octobre 2009</w:t>
      </w:r>
    </w:p>
    <w:p>
      <w:r>
        <w:t>IT: AG_GERICHTE 3-BB.2008.10 del 22 ottobre 2009</w:t>
      </w:r>
    </w:p>
    <w:p>
      <w:pPr>
        <w:pStyle w:val="Heading2"/>
      </w:pPr>
      <w:r>
        <w:t>Regeste</w:t>
      </w:r>
    </w:p>
    <w:p>
      <w:r>
        <w:t>Gewinnsteuer; Zahlung einer Provision ins Ausland (Art. 58 Abs. 1 lit. b DBG) - An den Nachweis der geschäftsmässigen Begründetheit von ins Ausland bezahlten Vermittlungsprovisionen sind hohe Anforderungen zu stellen. Der Nachweis einer Zahlung genügt nicht, um zu beweisen, dass eine Mäklertätigkeit vorliegt.</w:t>
      </w:r>
    </w:p>
    <w:p>
      <w:pPr>
        <w:pStyle w:val="Heading2"/>
      </w:pPr>
      <w:r>
        <w:t>Volltext</w:t>
      </w:r>
    </w:p>
    <w:p>
      <w:r>
        <w:t>Aargau Spezialverwaltungsgericht Steuern 22.10.2009 3-BB.2008.10</w:t>
      </w:r>
    </w:p>
    <w:p>
      <w:r>
        <w:t>Gewinnsteuer; Zahlung einer Provision ins Ausland (Art. 58 Abs. 1 lit. b DBG) - An den Nachweis der geschäftsmässigen Begründetheit von ins Ausland bezahlten Vermittlungsprovisionen sind hohe Anforderungen zu stellen. Der Nachweis einer Zahlung genügt nicht, um zu beweisen, dass eine Mäklertätigkeit vorliegt.</w:t>
      </w:r>
    </w:p>
    <w:p>
      <w:r>
        <w:t>Aargau Spezialverwaltungsgericht Steuern Argovie Steuern Argovia Steuern Spezialverwaltungsgericht / Abteilung Steuern Spezialverwaltungsgericht / Abteilung Steuern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