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AG_DEPARTEMENT_VI AGVE_2005_116 vom 3. Juni 2004</w:t>
      </w:r>
    </w:p>
    <w:p>
      <w:r>
        <w:t>Ag Departement Vi, 2004-06-03, DE</w:t>
      </w:r>
    </w:p>
    <w:p>
      <w:r>
        <w:rPr>
          <w:b/>
        </w:rPr>
        <w:t xml:space="preserve">Quelle: </w:t>
      </w:r>
      <w:r>
        <w:t>https://mcp.opencaselaw.ch/entscheid/ag_departement_vi_AGVE_2005_116</w:t>
      </w:r>
    </w:p>
    <w:p>
      <w:r>
        <w:t>FR: AG_DEPARTEMENT_VI AGVE_2005_116 du 3 juin 2004</w:t>
      </w:r>
    </w:p>
    <w:p>
      <w:r>
        <w:t>IT: AG_DEPARTEMENT_VI AGVE_2005_116 del 3 giugno 2004</w:t>
      </w:r>
    </w:p>
    <w:p>
      <w:pPr>
        <w:pStyle w:val="Heading2"/>
      </w:pPr>
      <w:r>
        <w:t>Regeste</w:t>
      </w:r>
    </w:p>
    <w:p>
      <w:r>
        <w:t>Ausweisung eines Drittstaatsangehörigen wegen häuslicher Gewalt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Auflage, Aarau 1985, § 3 N 7, S. 36). Nachdem es sich auch bei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