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EDGS.2023.23 vom 30. April 2024</w:t>
      </w:r>
    </w:p>
    <w:p>
      <w:r>
        <w:t>Ag Departement Gs, 2024-04-30, DE</w:t>
      </w:r>
    </w:p>
    <w:p>
      <w:r>
        <w:rPr>
          <w:b/>
        </w:rPr>
        <w:t xml:space="preserve">Quelle: </w:t>
      </w:r>
      <w:r>
        <w:t>https://mcp.opencaselaw.ch/entscheid/ag_departement_gs_EDGS.2023.23</w:t>
      </w:r>
    </w:p>
    <w:p>
      <w:r>
        <w:t>FR: AG_DEPARTEMENT_GS EDGS.2023.23 du 30 avril 2024</w:t>
      </w:r>
    </w:p>
    <w:p>
      <w:r>
        <w:t>IT: AG_DEPARTEMENT_GS EDGS.2023.23 del 30 aprile 2024</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VeD im Vollzugsbereich der Hunde- und der Tierschutzgesetzgebung. b) Der Beschwerdeführer hat als Adressat ein schutzwürdiges Interesse an der Aufhebung oder Ände- rung des angefochtenen Entscheids i.S.v. § 42 Abs. 1 VRPG. Er ist somit zur Erhebung der Be- schwerde befugt. c) Die Beschwerdefrist von 30 Tagen gemäss § 44 Abs. 1 VRPG ist gewahrt. Damit sind alle Voraussetzungen erfüllt, und auf die Beschwerde ist einzutreten. d) Dem Beschwerdeführer wurde während der Hauptverhandlung des Strafverfahrens mitgeteilt, dass dem RD DGS die entsprechenden Akten voraussichtlich zur Einsichtnahme zur Verfügung gestellt werden. In der Replik vom 19. Februar 2024 nahm sein Rechtsvertreter nicht ausdrücklich auf die Ver- handlung und deren Ergebnis Bezug, hätte dazu jedoch die Möglichkeit gehabt. Auszugehen ist weiter davon, dass ihm der Inhalt der Strafakten bekannt ist. Im Instruktionsschreiben vom 28. März 2024 wurde er auf den Beizug der Strafakten hingewiesen. Insgesamt ist deshalb davon auszugehen, dass dem Beschwerdeführer und seinem Rechtsvertreter diesbezüglich das rechtliche Gehör genügend ge- währt wurde.</w:t>
      </w:r>
    </w:p>
    <w:p>
      <w:r>
        <w:rPr>
          <w:b/>
        </w:rPr>
        <w:t>E. 2</w:t>
      </w:r>
    </w:p>
    <w:p>
      <w:r>
        <w:t>a) Der VeD führte in der angefochtenen Verfügung aus, das Misshandeln, Vernachlässigen oder unnö- tige Überanstrengen von Tieren sei verboten, namentlich auch sexuell motivierte Handlungen mit Tie- ren. Gemäss Daten von seinem Computer habe der Beschwerdeführer tierpornographische Bilder und Filme konsumiert und sexuelle Handlungen mit seinem Hund "F._____" sowie anderen Hunden durch- geführt. Dass es sich beim User "A._____" im wiedergestellten Chat um ihn handle, erachtete der VeD als erwiesen. Alle Angaben stimmten mit ihm und seinem Hund überein. Handeln einer Drittperson sei nicht glaubhaft. Dass bisher keine strafrechtliche Anklage oder Verurteilung vorliege, sei nicht rele- vant. Im Verwaltungsrecht könne die zuständige Behörde selbst über den Sachverhalt befinden. Ge- mäss Art. 23 Abs. 1 lit. b TSchG könne die zuständige Behörde die Haltung oder Zucht von Tieren, den Handel und die berufsmässige Beschäftigung auf bestimmte oder unbestimmte Zeit Personen verbieten, die dazu unfähig sind. Mangelnde charakterliche Eignung oder Unzuverlässigkeit des Tier- halters reiche aus, auch die blosse Gefahr von Schmerzen, Leiden oder Schäden an Tieren genüge für das Aussprechen eines Halteverbots. Vorliegend sei eine Gefahr offensichtlich, insbesondere weil der Beschwerdeführer nach seinen Aussagen im Chat sexuelle Handlungen mit "F._____" und ande- ren Hunden vorgenommen habe. Aufgrund dieses Sachverhalts sei der VeD gezwungen, ein soforti- ges Tierhalte- und -umgangsverbot zu verhängen. "F._____" müsse beschlagnahmt und neu platziert werden, wobei die Wünsche des Halters nicht berücksichtigt werden könnten. In der Beschwerdeantwort verweist der VeD nochmal auf den Chat des Beschwerdeführers und das bei ihm gefundene umfangreiche Material. In der Duplik wiederholt er frühere Aussagen. b) Der Beschwerdeführer machte in der Rechtsmittelschrift geltend, die Ausführungen des VeD und der Kantonspolizei träfen nicht zu. Er habe nie sexuelle Handlungen mit "F._____" oder anderen Hunden vollzogen. Dafür gebe es auch keine handfesten Beweise. Bei der Einvernahme habe der Staatsan- walt klar geäussert, die Anzeige sei nicht haltbar. In der Replik führte der Vertreter des Beschwerdeführers aus, die Massnahmen gegen ihn seien auf- grund blosser Verdachtsmomente erlassen worden. Die ihm zur Last gelegten Chatverläufe könne er nicht verfasst haben, weil er zur fraglichen Zeit jeweils gearbeitet oder Zivildienst geleistet habe. Zu- dem sei er französischer Muttersprache und gar nicht fähig, in derart einwandfreiem Deutsch zu schreiben. Zu seinen Gunsten sei deshalb davon auszugehen, dass sich Fremde zu seinem Laptop bzw. Skype-Account Zugang verschafft und die fraglichen Verläufe verfasst hätten. Dies erkläre auch die Übereinstimmung in Alter, Rasse und Name des Hundes. Beim Hund "F._____" seien keine auffäl- ligen oder verdächtigen Feststellungen getroffen worden, weshalb die Staatsanwaltschaft die Untersu- chung wegen Tierquälerei eingestellt habe. Weiter seien Folgen des ausgesprochenen Verbots für den Beschwerdeführer sehr einschneidend, indem es seine bestehende Partnerschaft mit C._____ zerstöre.</w:t>
      </w:r>
    </w:p>
    <w:p>
      <w:r>
        <w:rPr>
          <w:b/>
        </w:rPr>
        <w:t>E. 3</w:t>
      </w:r>
    </w:p>
    <w:p>
      <w:r>
        <w:t>von 5</w:t>
      </w:r>
    </w:p>
    <w:p>
      <w:r>
        <w:t>wiederholten oder regelmässigen Konsums sowie Weiterverbreitung von Tierpornographie, verbunden möglicherweise mit weiteren einschlägigen Aktivitäten wie sexuellen Handlungen mit Tieren, insbe- sondere Hunden, sowie eigener Herstellung tierpornographischer Darstellungen. Die vom Beschwerdeführer ausgehende Gefahr ist damit als sehr erheblich einzustufen. Bei fortge- setzter eigener Tierhaltung, aber auch beim unbeobachteten und unbeaufsichtigten Umgang mit frem- den Tieren bestünde das Risiko sexueller Handlungen mit Tieren und damit schwerer Fälle von Tier- quälerei im Sinn von Art. 26 TSchG. Diese wäre nicht ausschliesslich auf Hunde beschränkt. Vor al- lem bei Anordnung eines blossen Hundehalteverbots bestünde die Gefahr, dass der Beschwerdefüh- rer die in den Chats geäusserten und in den pornographischen Fotos und Filmen dargestellten Fanta- sien in veränderter Form an anderen Arten ausleben würde. Diese Gefahr rechtfertigt das in der ange- fochtenen Verfügung ausgesprochene Tierhalte- und Tierumgangsverbot.</w:t>
      </w:r>
    </w:p>
    <w:p>
      <w:r>
        <w:rPr>
          <w:b/>
        </w:rPr>
        <w:t>E. 4</w:t>
      </w:r>
    </w:p>
    <w:p>
      <w:r>
        <w:t>a) Zum Schutz der in seinem Haushalt bei der Kontrolle am tt.mm.jjjj vorgefundenen und zum Teil be- schlagnahmten Tiere sind auch die Beschlagnahme seines Hundes sowie die Anordnung, die Repti- lien an andere Halter abzugeben, zu bestätigen. b) Die durch den VeD angeordneten Massnahmen, insbesondere die Beschlagnahme der bei der Kon- trolle angetroffenen Tiere, werden vorangehend vollumfänglich bestätigt. Gemäss Art. 24 Abs. 1 TSchG sind deshalb die Unterbringungs- und Betreuungskosten für die Tiere dem Beschwerdeführer aufzuerlegen.</w:t>
      </w:r>
    </w:p>
    <w:p>
      <w:r>
        <w:rPr>
          <w:b/>
        </w:rPr>
        <w:t>E. 5</w:t>
      </w:r>
    </w:p>
    <w:p>
      <w:r>
        <w:t>Daraus folgt, dass der VeD dem Beschwerdeführer anlässlich der Kontrolle zu Recht eine Beanstan- dung erteilt hat und die Kontrolle somit gemäss Art. 41 Abs. 2 lit. b TSchG i.V.m. § 22 Abs. 1 und 2 lit. g der Verordnung über den Vollzug der eidgenössischen Tierschutzgesetzgebung kostenpflichtig ist. Die Höhe der auferlegten Kosten von Fr. 305.- ist innerhalb des Rahmens von Fr. 50.- bis 1'500.- mässig und nicht zu beanstanden. Wie in allen anderen ist daher auch in diesem Punkt die Beschwerde abzuweisen.</w:t>
      </w:r>
    </w:p>
    <w:p>
      <w:r>
        <w:rPr>
          <w:b/>
        </w:rPr>
        <w:t>E. 6</w:t>
      </w:r>
    </w:p>
    <w:p>
      <w:r>
        <w:t>Gemäss den vorangehenden Ausführungen bestünde bei weiterer Tierhaltung durch den Beschwer- deführer die erhebliche Gefahr tierquälerischer Handlungen. Die aufschiebende Wirkung einer Be- schwerde an das Verwaltungsgericht hätte zudem zur Folge, dass der Hund "F._____" vorläufig zu- rückgegeben werden müsste, er bei rechtskräftiger Abweisung jedoch bereits nach kurzer Zeit wieder beschlagnahmt werden müsste. Allenfalls neu angeschaffte Tiere müsste der Beschwerdeführer in diesem Fall ebenfalls nach kurzer Haltung herausgeben. Dies alles würde dem Tierwohl, dessen Schutz nach Art. 1 TSchG der Hauptzweck des Gesetzes darstellt, in schwerer Weise widersprechen. Gestützt auf § 46 Abs. 1 VRPG ist einer allfälligen Beschwerde an das Verwaltungsgericht daher die aufschiebende Wirkung zu entziehen. 4 von 5</w:t>
      </w:r>
    </w:p>
    <w:p>
      <w:r>
        <w:rPr>
          <w:b/>
        </w:rPr>
        <w:t>E. 7</w:t>
      </w:r>
    </w:p>
    <w:p>
      <w:r>
        <w:t>a) Im Beschwerdeverfahren sind die Kosten in der Regel nach Massgabe von Obsiegen und Unterliegen auf die Parteien zu verlegen (§ 31 Abs. 2 Satz 1 VRPG). Der Beschwerdeführer unterliegt, die Verfah- renskosten sind daher ihm aufzuerlegen. Innerhalb des Rahmens von Fr. 200.- bis Fr. 5'000.- gemäss § 22 As. 1 lit. a des Dekrets über die Ver- fahrenskosten (Verfahrenskostendekret, VKD) vom 24. November 1987 wird die Staatsgebühr auf Fr. 1'000.- festgesetzt, hinzu kommt gemäss § 25 Abs. 1 VKD eine Kanzleigebühr von Fr. 100.-. b) Anspruch auf Ersatz von Parteikosten besteht nur bei Obsiegen (§ 32 Abs. 2 VRPG) und daher im vorliegenden Fall nicht. Entscheid 1. Die Beschwerde wird abgewiesen. 2. Der Beschwerdeführer hat die Kosten des Verfahrens, bestehend aus einer Staatsgebühr von Fr. 1'000.–, der Kanzleigebühr und den Auslagen von Fr. 100.–, zusammen Fr. 1'100.–, zu bezahlen. 3. Ersatz für Parteikosten wird nicht ausgerichtet. 4. Einer allfälligen Beschwerde an das Verwaltungsgericht wird die aufschiebende Wirkung entzogen. Departement Gesundheit und Soziales Roger Lehner Leiter Rechtsdienst 5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