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Zufahrtsweg vom 19. April 2018</w:t>
      </w:r>
    </w:p>
    <w:p>
      <w:r>
        <w:t>Ag Baugesetzgebung, 2018-04-19, DE</w:t>
      </w:r>
    </w:p>
    <w:p>
      <w:r>
        <w:rPr>
          <w:b/>
        </w:rPr>
        <w:t xml:space="preserve">Quelle: </w:t>
      </w:r>
      <w:r>
        <w:t>https://mcp.opencaselaw.ch/entscheid/ag_baugesetzgebung_Zufahrtsweg</w:t>
      </w:r>
    </w:p>
    <w:p>
      <w:r>
        <w:t>FR: AG_BAUGESETZGEBUNG Zufahrtsweg du 19 avril 2018</w:t>
      </w:r>
    </w:p>
    <w:p>
      <w:r>
        <w:t>IT: AG_BAUGESETZGEBUNG Zufahrtsweg del 19 aprile 2018</w:t>
      </w:r>
    </w:p>
    <w:p>
      <w:pPr>
        <w:pStyle w:val="Heading2"/>
      </w:pPr>
      <w:r>
        <w:t>Regeste</w:t>
      </w:r>
    </w:p>
    <w:p>
      <w:r>
        <w:t>Ein Bauvorhaben darf eine (mit einer Dienstbarkeit gesicherte) Wegrechtsfläche nicht derart verengen, dass das Nachbargebäude nicht mehr über eine genügende Zufahrt verfügt. – Ob der private Zufahrtsweg die erforderliche Minimalbreite einhält, beurteilt sich in analoger Anwendung der für öffentliche Erschliessungsstrassen anwendbaren VSS-Normen.</w:t>
      </w:r>
    </w:p>
    <w:p>
      <w:pPr>
        <w:pStyle w:val="Heading2"/>
      </w:pPr>
      <w:r>
        <w:t>Volltext</w:t>
      </w:r>
    </w:p>
    <w:p>
      <w:r>
        <w:t>Aargau Entscheidsammlung Baugesetzgebung 19.04.2018 Argovie Entscheidsammlung Baugesetzgebung 19.04.2018 Argovia Entscheidsammlung Baugesetzgebung 19.04.2018</w:t>
      </w:r>
    </w:p>
    <w:p>
      <w:r>
        <w:t>Ein Bauvorhaben darf eine (mit einer Dienstbarkeit gesicherte) Wegrechtsfläche nicht derart verengen, dass das Nachbargebäude nicht mehr über eine genügende Zufahrt verfügt. – Ob der private Zufahrtsweg die erforderliche Minimalbreite einhält, beurteilt sich in analoger Anwendung der für öffentliche Erschliessungsstrassen anwendbaren VSS-Normen.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