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Wohnbauten in der Landwirtschaftszone vom 20. April 2016</w:t>
      </w:r>
    </w:p>
    <w:p>
      <w:r>
        <w:t>Ag Baugesetzgebung, 2016-04-20, DE</w:t>
      </w:r>
    </w:p>
    <w:p>
      <w:r>
        <w:rPr>
          <w:b/>
        </w:rPr>
        <w:t xml:space="preserve">Quelle: </w:t>
      </w:r>
      <w:r>
        <w:t>https://mcp.opencaselaw.ch/entscheid/ag_baugesetzgebung_Wohnbauten_in_der_Landwirtschaftszone</w:t>
      </w:r>
    </w:p>
    <w:p>
      <w:r>
        <w:t>FR: AG_BAUGESETZGEBUNG Wohnbauten in der Landwirtschaftszone du 20 avril 2016</w:t>
      </w:r>
    </w:p>
    <w:p>
      <w:r>
        <w:t>IT: AG_BAUGESETZGEBUNG Wohnbauten in der Landwirtschaftszone del 20 aprile 2016</w:t>
      </w:r>
    </w:p>
    <w:p>
      <w:pPr>
        <w:pStyle w:val="Heading2"/>
      </w:pPr>
      <w:r>
        <w:t>Regeste</w:t>
      </w:r>
    </w:p>
    <w:p>
      <w:r>
        <w:t>– Eine Betriebsleiter-Stellvertreter-Wohnung ist in der Landwirtschaftszone nicht zonenkonform, wenn sie für den Betrieb des landwirtschaftlichen Gewerbes entbehrlich ist (Erw. 2). – Eine unter Vorbehalt erfolgte Beantwortung einer (Vor-)Anfrage begründet keinen Vertrauensschutz (Erw. 3). – Zulässigkeit einer Praxisänderung, die sich auf ernsthafte sachliche Gründe stützt; bei einem bereits hängigen Baugesuch wird das Vertrauen in die Weiterführung der alten Praxis nicht geschützt (Erw. 3.3).</w:t>
      </w:r>
    </w:p>
    <w:p>
      <w:pPr>
        <w:pStyle w:val="Heading2"/>
      </w:pPr>
      <w:r>
        <w:t>Volltext</w:t>
      </w:r>
    </w:p>
    <w:p>
      <w:r>
        <w:t>Aargau Entscheidsammlung Baugesetzgebung 20.04.2016 Argovie Entscheidsammlung Baugesetzgebung 20.04.2016 Argovia Entscheidsammlung Baugesetzgebung 20.04.2016</w:t>
      </w:r>
    </w:p>
    <w:p>
      <w:r>
        <w:t>– Eine Betriebsleiter-Stellvertreter-Wohnung ist in der Landwirtschaftszone nicht zonenkonform, wenn sie für den Betrieb des landwirtschaftlichen Gewerbes entbehrlich ist (Erw. 2). – Eine unter Vorbehalt erfolgte Beantwortung einer (Vor-)Anfrage begründet keinen Vertrauensschutz (Erw. 3). – Zulässigkeit einer Praxisänderung, die sich auf ernsthafte sachliche Gründe stützt; bei einem bereits hängigen Baugesuch wird das Vertrauen in die Weiterführung der alten Praxis nicht geschützt (Erw. 3.3).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