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Vorentscheid vom 16. Juni 2005</w:t>
      </w:r>
    </w:p>
    <w:p>
      <w:r>
        <w:t>Ag Baugesetzgebung, 2005-06-16, DE</w:t>
      </w:r>
    </w:p>
    <w:p>
      <w:r>
        <w:rPr>
          <w:b/>
        </w:rPr>
        <w:t xml:space="preserve">Quelle: </w:t>
      </w:r>
      <w:r>
        <w:t>https://mcp.opencaselaw.ch/entscheid/ag_baugesetzgebung_Vorentscheid</w:t>
      </w:r>
    </w:p>
    <w:p>
      <w:r>
        <w:t>FR: AG_BAUGESETZGEBUNG Vorentscheid du 16 juin 2005</w:t>
      </w:r>
    </w:p>
    <w:p>
      <w:r>
        <w:t>IT: AG_BAUGESETZGEBUNG Vorentscheid del 16 giugno 2005</w:t>
      </w:r>
    </w:p>
    <w:p>
      <w:pPr>
        <w:pStyle w:val="Heading2"/>
      </w:pPr>
      <w:r>
        <w:t>Regeste</w:t>
      </w:r>
    </w:p>
    <w:p>
      <w:r>
        <w:t>Ein Vorentscheid setzt voraus, dass der Sachverhalt hinreichend konkretisiert ist und es um Rechtsfragen geht, die sich losgelöst von der Detailprojektierung beantworten lassen (Erw. 2a). Die Gebäude- und die Firsthöhe sowie die Geschossigkeit können in einem Vorentscheid nicht verbindlich entschieden werden, wenn das Projekt noch eine Verschiebung um 8.50 m erfährt (Erw. 3e).</w:t>
      </w:r>
    </w:p>
    <w:p>
      <w:pPr>
        <w:pStyle w:val="Heading2"/>
      </w:pPr>
      <w:r>
        <w:t>Volltext</w:t>
      </w:r>
    </w:p>
    <w:p>
      <w:r>
        <w:t>Aargau Entscheidsammlung Baugesetzgebung 16.06.2005 Argovie Entscheidsammlung Baugesetzgebung 16.06.2005 Argovia Entscheidsammlung Baugesetzgebung 16.06.2005</w:t>
      </w:r>
    </w:p>
    <w:p>
      <w:r>
        <w:t>Ein Vorentscheid setzt voraus, dass der Sachverhalt hinreichend konkretisiert ist und es um Rechtsfragen geht, die sich losgelöst von der Detailprojektierung beantworten lassen (Erw. 2a). Die Gebäude- und die Firsthöhe sowie die Geschossigkeit können in einem Vorentscheid nicht verbindlich entschieden werden, wenn das Projekt noch eine Verschiebung um 8.50 m erfährt (Erw. 3e).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