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Voranfrage, Vorbefassung, Befangenheit vom 8. September 2009</w:t>
      </w:r>
    </w:p>
    <w:p>
      <w:r>
        <w:t>Ag Baugesetzgebung, 2009-09-08, DE</w:t>
      </w:r>
    </w:p>
    <w:p>
      <w:r>
        <w:rPr>
          <w:b/>
        </w:rPr>
        <w:t xml:space="preserve">Quelle: </w:t>
      </w:r>
      <w:r>
        <w:t>https://mcp.opencaselaw.ch/entscheid/ag_baugesetzgebung_Voranfrage__Vorbefassung__Befangenheit</w:t>
      </w:r>
    </w:p>
    <w:p>
      <w:r>
        <w:t>FR: AG_BAUGESETZGEBUNG Voranfrage, Vorbefassung, Befangenheit du 8 septembre 2009</w:t>
      </w:r>
    </w:p>
    <w:p>
      <w:r>
        <w:t>IT: AG_BAUGESETZGEBUNG Voranfrage, Vorbefassung, Befangenheit del 8 settembre 2009</w:t>
      </w:r>
    </w:p>
    <w:p>
      <w:pPr>
        <w:pStyle w:val="Heading2"/>
      </w:pPr>
      <w:r>
        <w:t>Regeste</w:t>
      </w:r>
    </w:p>
    <w:p>
      <w:r>
        <w:t>Die Voranfrage erfolgt vor Einreichung eines Baugesuchs und ohne Beteiligung Dritter (§ 28 Abs. 2 ABauV). Bei einer umfangreichen detaillierten Prüfung konkreter, projektbezogener Fragen, namentlich im Autonomiebereich der Gemeinde, besteht die Gefahr einer unzulässigen Vorbefassung der Behörde.</w:t>
      </w:r>
    </w:p>
    <w:p>
      <w:pPr>
        <w:pStyle w:val="Heading2"/>
      </w:pPr>
      <w:r>
        <w:t>Volltext</w:t>
      </w:r>
    </w:p>
    <w:p>
      <w:r>
        <w:t>Aargau Entscheidsammlung Baugesetzgebung 08.09.2009 Argovie Entscheidsammlung Baugesetzgebung 08.09.2009 Argovia Entscheidsammlung Baugesetzgebung 08.09.2009</w:t>
      </w:r>
    </w:p>
    <w:p>
      <w:r>
        <w:t>Die Voranfrage erfolgt vor Einreichung eines Baugesuchs und ohne Beteiligung Dritter (§ 28 Abs. 2 ABauV). Bei einer umfangreichen detaillierten Prüfung konkreter, projektbezogener Fragen, namentlich im Autonomiebereich der Gemeinde, besteht die Gefahr einer unzulässigen Vorbefassung der Behörde.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