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AG_BAUGESETZGEBUNG Unterschutzstellung einer Hecke vom 12. Juli 1995</w:t>
      </w:r>
    </w:p>
    <w:p>
      <w:r>
        <w:t>Ag Baugesetzgebung, 1995-07-12, DE</w:t>
      </w:r>
    </w:p>
    <w:p>
      <w:r>
        <w:rPr>
          <w:b/>
        </w:rPr>
        <w:t xml:space="preserve">Quelle: </w:t>
      </w:r>
      <w:r>
        <w:t>https://mcp.opencaselaw.ch/entscheid/ag_baugesetzgebung_Unterschutzstellung_einer_Hecke</w:t>
      </w:r>
    </w:p>
    <w:p>
      <w:r>
        <w:t>FR: AG_BAUGESETZGEBUNG Unterschutzstellung einer Hecke du 12 juillet 1995</w:t>
      </w:r>
    </w:p>
    <w:p>
      <w:r>
        <w:t>IT: AG_BAUGESETZGEBUNG Unterschutzstellung einer Hecke del 12 luglio 1995</w:t>
      </w:r>
    </w:p>
    <w:p>
      <w:pPr>
        <w:pStyle w:val="Heading2"/>
      </w:pPr>
      <w:r>
        <w:t>Regeste</w:t>
      </w:r>
    </w:p>
    <w:p>
      <w:r>
        <w:t>Art. 18 Abs. 1bis NHG. Rechtliche und sachliche Kriterien für die Ausscheidung einer Hecke als Naturschutzobjekt. Anwendung der Anforderungen gemäss Art. 22ter BV (gesetzliche Grundlage, öffentliches Interesse, Verhältnismässig) im Einzelfall. Hecke, Begriff, Unterschutzstellung.</w:t>
      </w:r>
    </w:p>
    <w:p>
      <w:pPr>
        <w:pStyle w:val="Heading2"/>
      </w:pPr>
      <w:r>
        <w:t>Volltext</w:t>
      </w:r>
    </w:p>
    <w:p>
      <w:r>
        <w:t>Aargau Entscheidsammlung Baugesetzgebung 12.07.1995 Argovie Entscheidsammlung Baugesetzgebung 12.07.1995 Argovia Entscheidsammlung Baugesetzgebung 12.07.1995</w:t>
      </w:r>
    </w:p>
    <w:p>
      <w:r>
        <w:t>Art. 18 Abs. 1bis NHG. Rechtliche und sachliche Kriterien für die Ausscheidung einer Hecke als Naturschutzobjekt. Anwendung der Anforderungen gemäss Art. 22ter BV (gesetzliche Grundlage, öffentliches Interesse, Verhältnismässig) im Einzelfall. Hecke, Begriff, Unterschutzstellung.</w:t>
      </w:r>
    </w:p>
    <w:p>
      <w:r>
        <w:t>Aargau Entscheidsammlung Baugesetzgebung Argovie Entscheidsammlung Baugesetzgebung Argovia Entscheidsammlung Baugesetzgebung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