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Submission: Ausschluss vom Verfahren vom 28. Februar 2013</w:t>
      </w:r>
    </w:p>
    <w:p>
      <w:r>
        <w:t>Ag Baugesetzgebung, 2013-02-28, DE</w:t>
      </w:r>
    </w:p>
    <w:p>
      <w:r>
        <w:rPr>
          <w:b/>
        </w:rPr>
        <w:t xml:space="preserve">Quelle: </w:t>
      </w:r>
      <w:r>
        <w:t>https://mcp.opencaselaw.ch/entscheid/ag_baugesetzgebung_Submission__Ausschluss_vom_Verfahren</w:t>
      </w:r>
    </w:p>
    <w:p>
      <w:r>
        <w:t>FR: AG_BAUGESETZGEBUNG Submission: Ausschluss vom Verfahren du 28 février 2013</w:t>
      </w:r>
    </w:p>
    <w:p>
      <w:r>
        <w:t>IT: AG_BAUGESETZGEBUNG Submission: Ausschluss vom Verfahren del 28 febbraio 2013</w:t>
      </w:r>
    </w:p>
    <w:p>
      <w:pPr>
        <w:pStyle w:val="Heading2"/>
      </w:pPr>
      <w:r>
        <w:t>Regeste</w:t>
      </w:r>
    </w:p>
    <w:p>
      <w:r>
        <w:t>– Die nachträgliche Änderung einer Bietergemeinschaft stellt einen Ausschlussgrund dar, es sei denn, dass die Änderung nur unwesentlich und die Eignung weiterhin gegeben ist (Verhältnismässigkeitsprinzip). – Die Parteientschädigung bemisst sich nach dem Streitwert, der 10 % des Auftragswerts (ohne MWST) beträgt (Erw. III/2).</w:t>
      </w:r>
    </w:p>
    <w:p>
      <w:pPr>
        <w:pStyle w:val="Heading2"/>
      </w:pPr>
      <w:r>
        <w:t>Volltext</w:t>
      </w:r>
    </w:p>
    <w:p>
      <w:r>
        <w:t>Aargau Entscheidsammlung Baugesetzgebung 28.02.2013 Argovie Entscheidsammlung Baugesetzgebung 28.02.2013 Argovia Entscheidsammlung Baugesetzgebung 28.02.2013</w:t>
      </w:r>
    </w:p>
    <w:p>
      <w:r>
        <w:t>– Die nachträgliche Änderung einer Bietergemeinschaft stellt einen Ausschlussgrund dar, es sei denn, dass die Änderung nur unwesentlich und die Eignung weiterhin gegeben ist (Verhältnismässigkeitsprinzip). – Die Parteientschädigung bemisst sich nach dem Streitwert, der 10 % des Auftragswerts (ohne MWST) beträgt (Erw. III/2).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