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Rechtsgleichheit bei Nutzungsplänen vom 6. März 1996</w:t>
      </w:r>
    </w:p>
    <w:p>
      <w:r>
        <w:t>Ag Baugesetzgebung, 1996-03-06, DE</w:t>
      </w:r>
    </w:p>
    <w:p>
      <w:r>
        <w:rPr>
          <w:b/>
        </w:rPr>
        <w:t xml:space="preserve">Quelle: </w:t>
      </w:r>
      <w:r>
        <w:t>https://mcp.opencaselaw.ch/entscheid/ag_baugesetzgebung_Rechtsgleichheit_bei_Nutzungspl_nen</w:t>
      </w:r>
    </w:p>
    <w:p>
      <w:r>
        <w:t>FR: AG_BAUGESETZGEBUNG Rechtsgleichheit bei Nutzungsplänen du 6 mars 1996</w:t>
      </w:r>
    </w:p>
    <w:p>
      <w:r>
        <w:t>IT: AG_BAUGESETZGEBUNG Rechtsgleichheit bei Nutzungsplänen del 6 marzo 1996</w:t>
      </w:r>
    </w:p>
    <w:p>
      <w:pPr>
        <w:pStyle w:val="Heading2"/>
      </w:pPr>
      <w:r>
        <w:t>Regeste</w:t>
      </w:r>
    </w:p>
    <w:p>
      <w:r>
        <w:t>Im Raumplanungsrecht verlangt das Gleichheitsprinzip, dass sich die Planung auf vernünftige, sachliche Gründe stützen kann. Ein Anspruch, in Zusammenhang mit dem Erlass einer Zonenordnung gleich wie alle anderen Grundeigentümer behandelt zu werden, besteht nicht.</w:t>
      </w:r>
    </w:p>
    <w:p>
      <w:pPr>
        <w:pStyle w:val="Heading2"/>
      </w:pPr>
      <w:r>
        <w:t>Volltext</w:t>
      </w:r>
    </w:p>
    <w:p>
      <w:r>
        <w:t>Aargau Entscheidsammlung Baugesetzgebung 06.03.1996 Argovie Entscheidsammlung Baugesetzgebung 06.03.1996 Argovia Entscheidsammlung Baugesetzgebung 06.03.1996</w:t>
      </w:r>
    </w:p>
    <w:p>
      <w:r>
        <w:t>Im Raumplanungsrecht verlangt das Gleichheitsprinzip, dass sich die Planung auf vernünftige, sachliche Gründe stützen kann. Ein Anspruch, in Zusammenhang mit dem Erlass einer Zonenordnung gleich wie alle anderen Grundeigentümer behandelt zu werden, besteht nicht.</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