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Quartierrichtplan vom 8. April 1998</w:t>
      </w:r>
    </w:p>
    <w:p>
      <w:r>
        <w:t>Ag Baugesetzgebung, 1998-04-08, DE</w:t>
      </w:r>
    </w:p>
    <w:p>
      <w:r>
        <w:rPr>
          <w:b/>
        </w:rPr>
        <w:t xml:space="preserve">Quelle: </w:t>
      </w:r>
      <w:r>
        <w:t>https://mcp.opencaselaw.ch/entscheid/ag_baugesetzgebung_Quartierrichtplan</w:t>
      </w:r>
    </w:p>
    <w:p>
      <w:r>
        <w:t>FR: AG_BAUGESETZGEBUNG Quartierrichtplan du 8 avril 1998</w:t>
      </w:r>
    </w:p>
    <w:p>
      <w:r>
        <w:t>IT: AG_BAUGESETZGEBUNG Quartierrichtplan del 8 aprile 1998</w:t>
      </w:r>
    </w:p>
    <w:p>
      <w:pPr>
        <w:pStyle w:val="Heading2"/>
      </w:pPr>
      <w:r>
        <w:t>Regeste</w:t>
      </w:r>
    </w:p>
    <w:p>
      <w:r>
        <w:t>Die Gemeinden dürfen kommunale Richtpläne (Quartierpläne) als interne Arbeitspapiere einsetzen; diese sind nicht grundeigentümerverbindlich. So ist es unzulässig, für die Überbauung eines Gebiets das Vorliegen eines Richtplans zur Voraussetzung zu machen.</w:t>
      </w:r>
    </w:p>
    <w:p>
      <w:pPr>
        <w:pStyle w:val="Heading2"/>
      </w:pPr>
      <w:r>
        <w:t>Volltext</w:t>
      </w:r>
    </w:p>
    <w:p>
      <w:r>
        <w:t>Aargau Entscheidsammlung Baugesetzgebung 08.04.1998 Argovie Entscheidsammlung Baugesetzgebung 08.04.1998 Argovia Entscheidsammlung Baugesetzgebung 08.04.1998</w:t>
      </w:r>
    </w:p>
    <w:p>
      <w:r>
        <w:t>Die Gemeinden dürfen kommunale Richtpläne (Quartierpläne) als interne Arbeitspapiere einsetzen; diese sind nicht grundeigentümerverbindlich. So ist es unzulässig, für die Überbauung eines Gebiets das Vorliegen eines Richtplans zur Voraussetzung zu machen.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