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Planungsrecht vom 21. Juni 1995</w:t>
      </w:r>
    </w:p>
    <w:p>
      <w:r>
        <w:t>Ag Baugesetzgebung, 1995-06-21, DE</w:t>
      </w:r>
    </w:p>
    <w:p>
      <w:r>
        <w:rPr>
          <w:b/>
        </w:rPr>
        <w:t xml:space="preserve">Quelle: </w:t>
      </w:r>
      <w:r>
        <w:t>https://mcp.opencaselaw.ch/entscheid/ag_baugesetzgebung_Planungsrecht</w:t>
      </w:r>
    </w:p>
    <w:p>
      <w:r>
        <w:t>FR: AG_BAUGESETZGEBUNG Planungsrecht du 21 juin 1995</w:t>
      </w:r>
    </w:p>
    <w:p>
      <w:r>
        <w:t>IT: AG_BAUGESETZGEBUNG Planungsrecht del 21 giugno 1995</w:t>
      </w:r>
    </w:p>
    <w:p>
      <w:pPr>
        <w:pStyle w:val="Heading2"/>
      </w:pPr>
      <w:r>
        <w:t>Regeste</w:t>
      </w:r>
    </w:p>
    <w:p>
      <w:r>
        <w:t>Die Gemeinden sind nicht verpflichtet, in Teilen der Nutzungszonen der Empfindlichkeitsstufen I und II im Falle der Lärmvorbelastung eine Aufstufung vorzunehmen (§ 43 Abs. 2 LSV). Nach der bundesgerichtlichen Rechtsprechung ist davon zurückhaltend Gebrauch zu machen (BGE 115 Ib 465</w:t>
      </w:r>
    </w:p>
    <w:p>
      <w:pPr>
        <w:pStyle w:val="Heading2"/>
      </w:pPr>
      <w:r>
        <w:t>Volltext</w:t>
      </w:r>
    </w:p>
    <w:p>
      <w:r>
        <w:t>Aargau Entscheidsammlung Baugesetzgebung 21.06.1995 Argovie Entscheidsammlung Baugesetzgebung 21.06.1995 Argovia Entscheidsammlung Baugesetzgebung 21.06.1995</w:t>
      </w:r>
    </w:p>
    <w:p>
      <w:r>
        <w:t>Die Gemeinden sind nicht verpflichtet, in Teilen der Nutzungszonen der Empfindlichkeitsstufen I und II im Falle der Lärmvorbelastung eine Aufstufung vorzunehmen (§ 43 Abs. 2 LSV). Nach der bundesgerichtlichen Rechtsprechung ist davon zurückhaltend Gebrauch zu machen (BGE 115 Ib 465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