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Planbeschwerde vom 21. Februar 1996</w:t>
      </w:r>
    </w:p>
    <w:p>
      <w:r>
        <w:t>Ag Baugesetzgebung, 1996-02-21, DE</w:t>
      </w:r>
    </w:p>
    <w:p>
      <w:r>
        <w:rPr>
          <w:b/>
        </w:rPr>
        <w:t xml:space="preserve">Quelle: </w:t>
      </w:r>
      <w:r>
        <w:t>https://mcp.opencaselaw.ch/entscheid/ag_baugesetzgebung_Planbeschwerde</w:t>
      </w:r>
    </w:p>
    <w:p>
      <w:r>
        <w:t>FR: AG_BAUGESETZGEBUNG Planbeschwerde du 21 février 1996</w:t>
      </w:r>
    </w:p>
    <w:p>
      <w:r>
        <w:t>IT: AG_BAUGESETZGEBUNG Planbeschwerde del 21 febbraio 1996</w:t>
      </w:r>
    </w:p>
    <w:p>
      <w:pPr>
        <w:pStyle w:val="Heading2"/>
      </w:pPr>
      <w:r>
        <w:t>Regeste</w:t>
      </w:r>
    </w:p>
    <w:p>
      <w:r>
        <w:t>Anfechtungsobjekt bei der Planungsbeschwerde an den Regierungsrat ist der Beschluss des für die Nutzungsplanung zuständigen Gemeindeorgans; wird eine Beschwerde schon zuvor eingereicht, ist darauf unter Kostenfolge nicht einzutreten. Der Einspracheentscheid des Gemeinderats kann nicht angefochten werden.</w:t>
      </w:r>
    </w:p>
    <w:p>
      <w:pPr>
        <w:pStyle w:val="Heading2"/>
      </w:pPr>
      <w:r>
        <w:t>Volltext</w:t>
      </w:r>
    </w:p>
    <w:p>
      <w:r>
        <w:t>Aargau Entscheidsammlung Baugesetzgebung 21.02.1996 Argovie Entscheidsammlung Baugesetzgebung 21.02.1996 Argovia Entscheidsammlung Baugesetzgebung 21.02.1996</w:t>
      </w:r>
    </w:p>
    <w:p>
      <w:r>
        <w:t>Anfechtungsobjekt bei der Planungsbeschwerde an den Regierungsrat ist der Beschluss des für die Nutzungsplanung zuständigen Gemeindeorgans; wird eine Beschwerde schon zuvor eingereicht, ist darauf unter Kostenfolge nicht einzutreten. Der Einspracheentscheid des Gemeinderats kann nicht angefochten werden.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