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Parteientschädigung; Verrechnung vom 18. Juni 2012</w:t>
      </w:r>
    </w:p>
    <w:p>
      <w:r>
        <w:t>Ag Baugesetzgebung, 2012-06-18, DE</w:t>
      </w:r>
    </w:p>
    <w:p>
      <w:r>
        <w:rPr>
          <w:b/>
        </w:rPr>
        <w:t xml:space="preserve">Quelle: </w:t>
      </w:r>
      <w:r>
        <w:t>https://mcp.opencaselaw.ch/entscheid/ag_baugesetzgebung_Parteientsch_digung__Verrechnung</w:t>
      </w:r>
    </w:p>
    <w:p>
      <w:r>
        <w:t>FR: AG_BAUGESETZGEBUNG Parteientschädigung; Verrechnung du 18 juin 2012</w:t>
      </w:r>
    </w:p>
    <w:p>
      <w:r>
        <w:t>IT: AG_BAUGESETZGEBUNG Parteientschädigung; Verrechnung del 18 giugno 2012</w:t>
      </w:r>
    </w:p>
    <w:p>
      <w:pPr>
        <w:pStyle w:val="Heading2"/>
      </w:pPr>
      <w:r>
        <w:t>Regeste</w:t>
      </w:r>
    </w:p>
    <w:p>
      <w:r>
        <w:t>Bei teilweisem Obsiegen und Unterliegen werden die Ansprüche der Parteien auf Parteikostenersatz verrechnet. Der Verrechnungsanspruch steht auch einer Partei zu, die nicht anwaltlich vertreten ist. – Eine Verrechnung von Parteikosten mit Verfahrenskosten darf nicht bereits im Entscheid verfügt werden.</w:t>
      </w:r>
    </w:p>
    <w:p>
      <w:pPr>
        <w:pStyle w:val="Heading2"/>
      </w:pPr>
      <w:r>
        <w:t>Volltext</w:t>
      </w:r>
    </w:p>
    <w:p>
      <w:r>
        <w:t>Aargau Entscheidsammlung Baugesetzgebung 18.06.2012 Argovie Entscheidsammlung Baugesetzgebung 18.06.2012 Argovia Entscheidsammlung Baugesetzgebung 18.06.2012</w:t>
      </w:r>
    </w:p>
    <w:p>
      <w:r>
        <w:t>Bei teilweisem Obsiegen und Unterliegen werden die Ansprüche der Parteien auf Parteikostenersatz verrechnet. Der Verrechnungsanspruch steht auch einer Partei zu, die nicht anwaltlich vertreten ist. – Eine Verrechnung von Parteikosten mit Verfahrenskosten darf nicht bereits im Entscheid verfügt werden.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