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Landwirtschaftszone, Erschliessung vom 2. September 1998</w:t>
      </w:r>
    </w:p>
    <w:p>
      <w:r>
        <w:t>Ag Baugesetzgebung, 1998-09-02, DE</w:t>
      </w:r>
    </w:p>
    <w:p>
      <w:r>
        <w:rPr>
          <w:b/>
        </w:rPr>
        <w:t xml:space="preserve">Quelle: </w:t>
      </w:r>
      <w:r>
        <w:t>https://mcp.opencaselaw.ch/entscheid/ag_baugesetzgebung_Landwirtschaftszone__Erschliessung</w:t>
      </w:r>
    </w:p>
    <w:p>
      <w:r>
        <w:t>FR: AG_BAUGESETZGEBUNG Landwirtschaftszone, Erschliessung du 2 septembre 1998</w:t>
      </w:r>
    </w:p>
    <w:p>
      <w:r>
        <w:t>IT: AG_BAUGESETZGEBUNG Landwirtschaftszone, Erschliessung del 2 settembre 1998</w:t>
      </w:r>
    </w:p>
    <w:p>
      <w:pPr>
        <w:pStyle w:val="Heading2"/>
      </w:pPr>
      <w:r>
        <w:t>Regeste</w:t>
      </w:r>
    </w:p>
    <w:p>
      <w:r>
        <w:t>Die Teerung einer bestehenden Strasse, die der Erschliessung von Liegenschaften dient, welche zu nichtlandwirtschaftlichen Wohnzwecken genutzt werden, ist ausserhalb Baugebiet weder als Ausnahme (RPG 24 Abs. 1) noch im Sinne der Besitzstandsgarantie (RPG 24 Abs. 2) zulässig.</w:t>
      </w:r>
    </w:p>
    <w:p>
      <w:pPr>
        <w:pStyle w:val="Heading2"/>
      </w:pPr>
      <w:r>
        <w:t>Volltext</w:t>
      </w:r>
    </w:p>
    <w:p>
      <w:r>
        <w:t>Aargau Entscheidsammlung Baugesetzgebung 02.09.1998 Argovie Entscheidsammlung Baugesetzgebung 02.09.1998 Argovia Entscheidsammlung Baugesetzgebung 02.09.1998</w:t>
      </w:r>
    </w:p>
    <w:p>
      <w:r>
        <w:t>Die Teerung einer bestehenden Strasse, die der Erschliessung von Liegenschaften dient, welche zu nichtlandwirtschaftlichen Wohnzwecken genutzt werden, ist ausserhalb Baugebiet weder als Ausnahme (RPG 24 Abs. 1) noch im Sinne der Besitzstandsgarantie (RPG 24 Abs. 2) zulässig.</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