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Landwirtschaftszone vom 18. Mai 1994</w:t>
      </w:r>
    </w:p>
    <w:p>
      <w:r>
        <w:t>Ag Baugesetzgebung, 1994-05-18, DE</w:t>
      </w:r>
    </w:p>
    <w:p>
      <w:r>
        <w:rPr>
          <w:b/>
        </w:rPr>
        <w:t xml:space="preserve">Quelle: </w:t>
      </w:r>
      <w:r>
        <w:t>https://mcp.opencaselaw.ch/entscheid/ag_baugesetzgebung_Landwirtschaftszone</w:t>
      </w:r>
    </w:p>
    <w:p>
      <w:r>
        <w:t>FR: AG_BAUGESETZGEBUNG Landwirtschaftszone du 18 mai 1994</w:t>
      </w:r>
    </w:p>
    <w:p>
      <w:r>
        <w:t>IT: AG_BAUGESETZGEBUNG Landwirtschaftszone del 18 maggio 1994</w:t>
      </w:r>
    </w:p>
    <w:p>
      <w:pPr>
        <w:pStyle w:val="Heading2"/>
      </w:pPr>
      <w:r>
        <w:t>Regeste</w:t>
      </w:r>
    </w:p>
    <w:p>
      <w:r>
        <w:t>Der Bau eines Geräteschopfes auf der bewirtschafteten Fläche ausserhalb Baugebiet wird i.d.R. dann als betriebsnotwendig (Art. 22 Abs. 2 RPG) angesehen, wenn das bewirtschaftete Grundstück in einer erheblichen Entfernung zum Wohn- bzw. Ökonomiegebäude liegt und eine gewisse Mindestgrösse (Faustregel: ab 3 ha) aufweist.</w:t>
      </w:r>
    </w:p>
    <w:p>
      <w:pPr>
        <w:pStyle w:val="Heading2"/>
      </w:pPr>
      <w:r>
        <w:t>Volltext</w:t>
      </w:r>
    </w:p>
    <w:p>
      <w:r>
        <w:t>Aargau Entscheidsammlung Baugesetzgebung 18.05.1994 Argovie Entscheidsammlung Baugesetzgebung 18.05.1994 Argovia Entscheidsammlung Baugesetzgebung 18.05.1994</w:t>
      </w:r>
    </w:p>
    <w:p>
      <w:r>
        <w:t>Der Bau eines Geräteschopfes auf der bewirtschafteten Fläche ausserhalb Baugebiet wird i.d.R. dann als betriebsnotwendig (Art. 22 Abs. 2 RPG) angesehen, wenn das bewirtschaftete Grundstück in einer erheblichen Entfernung zum Wohn- bzw. Ökonomiegebäude liegt und eine gewisse Mindestgrösse (Faustregel: ab 3 ha) aufweist.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