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AG_BAUGESETZGEBUNG Kniestock; Geschosshöhe vom 11. März 2013</w:t>
      </w:r>
    </w:p>
    <w:p>
      <w:r>
        <w:t>Ag Baugesetzgebung, 2013-03-11, DE</w:t>
      </w:r>
    </w:p>
    <w:p>
      <w:r>
        <w:rPr>
          <w:b/>
        </w:rPr>
        <w:t xml:space="preserve">Quelle: </w:t>
      </w:r>
      <w:r>
        <w:t>https://mcp.opencaselaw.ch/entscheid/ag_baugesetzgebung_Kniestock__Geschossh_he</w:t>
      </w:r>
    </w:p>
    <w:p>
      <w:r>
        <w:t>FR: AG_BAUGESETZGEBUNG Kniestock; Geschosshöhe du 11 mars 2013</w:t>
      </w:r>
    </w:p>
    <w:p>
      <w:r>
        <w:t>IT: AG_BAUGESETZGEBUNG Kniestock; Geschosshöhe del 11 marzo 2013</w:t>
      </w:r>
    </w:p>
    <w:p>
      <w:pPr>
        <w:pStyle w:val="Heading2"/>
      </w:pPr>
      <w:r>
        <w:t>Regeste</w:t>
      </w:r>
    </w:p>
    <w:p>
      <w:r>
        <w:t>– Messweise der Kniestockhöhe, wenn die Fassade an den Gebäudeecken zurückversetzt und das Dach entsprechend eingeschnitten ist – Begrenzt das kommunale Recht die Höhe eines Gebäudes, ist die kantonale Vorschrift über die Begrenzung der durchschnittlichen Geschosshöhe nicht zusätzlich anwendbar.</w:t>
      </w:r>
    </w:p>
    <w:p>
      <w:pPr>
        <w:pStyle w:val="Heading2"/>
      </w:pPr>
      <w:r>
        <w:t>Volltext</w:t>
      </w:r>
    </w:p>
    <w:p>
      <w:r>
        <w:t>Aargau Entscheidsammlung Baugesetzgebung 11.03.2013 Argovie Entscheidsammlung Baugesetzgebung 11.03.2013 Argovia Entscheidsammlung Baugesetzgebung 11.03.2013</w:t>
      </w:r>
    </w:p>
    <w:p>
      <w:r>
        <w:t>– Messweise der Kniestockhöhe, wenn die Fassade an den Gebäudeecken zurückversetzt und das Dach entsprechend eingeschnitten ist – Begrenzt das kommunale Recht die Höhe eines Gebäudes, ist die kantonale Vorschrift über die Begrenzung der durchschnittlichen Geschosshöhe nicht zusätzlich anwendbar.</w:t>
      </w:r>
    </w:p>
    <w:p>
      <w:r>
        <w:t>Aargau Entscheidsammlung Baugesetzgebung Argovie Entscheidsammlung Baugesetzgebung Argovia Entscheidsammlung Baugesetzgebung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