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Immissionen einer privaten Küchenabluftanlage (Dampfabzug) vom 10. Juni 2014</w:t>
      </w:r>
    </w:p>
    <w:p>
      <w:r>
        <w:t>Ag Baugesetzgebung, 2014-06-10, DE</w:t>
      </w:r>
    </w:p>
    <w:p>
      <w:r>
        <w:rPr>
          <w:b/>
        </w:rPr>
        <w:t xml:space="preserve">Quelle: </w:t>
      </w:r>
      <w:r>
        <w:t>https://mcp.opencaselaw.ch/entscheid/ag_baugesetzgebung_Immissionen_einer_privaten_K_chenabluftanlage__Dampfabzug_</w:t>
      </w:r>
    </w:p>
    <w:p>
      <w:r>
        <w:t>FR: AG_BAUGESETZGEBUNG Immissionen einer privaten Küchenabluftanlage (Dampfabzug) du 10 juin 2014</w:t>
      </w:r>
    </w:p>
    <w:p>
      <w:r>
        <w:t>IT: AG_BAUGESETZGEBUNG Immissionen einer privaten Küchenabluftanlage (Dampfabzug) del 10 giugno 2014</w:t>
      </w:r>
    </w:p>
    <w:p>
      <w:pPr>
        <w:pStyle w:val="Heading2"/>
      </w:pPr>
      <w:r>
        <w:t>Regeste</w:t>
      </w:r>
    </w:p>
    <w:p>
      <w:r>
        <w:t>– Lärmrechtliche Beurteilung (Erw. 3) – Geruchsimmissionen aus privater Küchenabluft gelten nicht als übermässig (Erw. 4.2). – Vorsorgliche Massnahmen zur Reduktion der Küchengerüche von Ein- und Doppeleinfamilienhäusern in üblichen Überbauungssituationen sind unverhältnismässig. Es kann weder ein Ausstoss der Emissionen über Dach (Art. 6 Abs. 2 LRV) verlangt noch eine andere Vorgabe zur Austrittsstelle der Küchenabluft gemacht werden (Erw. 4.2–4.4).</w:t>
      </w:r>
    </w:p>
    <w:p>
      <w:pPr>
        <w:pStyle w:val="Heading2"/>
      </w:pPr>
      <w:r>
        <w:t>Volltext</w:t>
      </w:r>
    </w:p>
    <w:p>
      <w:r>
        <w:t>Aargau Entscheidsammlung Baugesetzgebung 10.06.2014 Argovie Entscheidsammlung Baugesetzgebung 10.06.2014 Argovia Entscheidsammlung Baugesetzgebung 10.06.2014</w:t>
      </w:r>
    </w:p>
    <w:p>
      <w:r>
        <w:t>– Lärmrechtliche Beurteilung (Erw. 3) – Geruchsimmissionen aus privater Küchenabluft gelten nicht als übermässig (Erw. 4.2). – Vorsorgliche Massnahmen zur Reduktion der Küchengerüche von Ein- und Doppeleinfamilienhäusern in üblichen Überbauungssituationen sind unverhältnismässig. Es kann weder ein Ausstoss der Emissionen über Dach (Art. 6 Abs. 2 LRV) verlangt noch eine andere Vorgabe zur Austrittsstelle der Küchenabluft gemacht werden (Erw. 4.2–4.4).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